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99E7E" w14:textId="77777777" w:rsidR="00B84A53" w:rsidRDefault="007B626B">
      <w:pPr>
        <w:ind w:left="8381"/>
        <w:rPr>
          <w:rFonts w:ascii="Times New Roman"/>
          <w:sz w:val="20"/>
        </w:rPr>
      </w:pPr>
      <w:r>
        <w:pict w14:anchorId="3EE09BAE">
          <v:group id="_x0000_s1066" style="position:absolute;left:0;text-align:left;margin-left:0;margin-top:209.9pt;width:612pt;height:370.4pt;z-index:-251934720;mso-position-horizontal-relative:page;mso-position-vertical-relative:page" coordorigin=",4198" coordsize="12240,7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top:4340;width:12240;height:7267">
              <v:imagedata r:id="rId7" o:title=""/>
            </v:shape>
            <v:rect id="_x0000_s1073" style="position:absolute;top:4198;width:3498;height:142" fillcolor="#00524e" stroked="f"/>
            <v:rect id="_x0000_s1072" style="position:absolute;left:6994;top:4198;width:3498;height:142" fillcolor="#93c94f" stroked="f"/>
            <v:rect id="_x0000_s1071" style="position:absolute;left:3497;top:4198;width:3498;height:142" fillcolor="#00a766" stroked="f"/>
            <v:rect id="_x0000_s1070" style="position:absolute;left:10491;top:4198;width:1749;height:142" fillcolor="#cbdb2e" stroked="f"/>
            <v:rect id="_x0000_s1069" style="position:absolute;top:9014;width:12240;height:1296" fillcolor="#231f20" stroked="f">
              <v:fill opacity="17694f"/>
            </v:rect>
            <v:rect id="_x0000_s1068" style="position:absolute;top:10310;width:12240;height:1296" fillcolor="#231f20" stroked="f"/>
            <v:shapetype id="_x0000_t202" coordsize="21600,21600" o:spt="202" path="m,l,21600r21600,l21600,xe">
              <v:stroke joinstyle="miter"/>
              <v:path gradientshapeok="t" o:connecttype="rect"/>
            </v:shapetype>
            <v:shape id="_x0000_s1067" type="#_x0000_t202" style="position:absolute;left:9217;top:11141;width:2505;height:169" filled="f" stroked="f">
              <v:textbox inset="0,0,0,0">
                <w:txbxContent>
                  <w:p w14:paraId="70AF882C" w14:textId="77777777" w:rsidR="00B84A53" w:rsidRPr="00AC6BA8" w:rsidRDefault="00AA1828">
                    <w:pPr>
                      <w:spacing w:before="2"/>
                      <w:rPr>
                        <w:sz w:val="14"/>
                        <w:lang w:val="en-US"/>
                      </w:rPr>
                    </w:pPr>
                    <w:r w:rsidRPr="00AC6BA8">
                      <w:rPr>
                        <w:color w:val="FFFFFF"/>
                        <w:sz w:val="14"/>
                        <w:lang w:val="en-US"/>
                      </w:rPr>
                      <w:t>Prologis DIRFT II DC3, United Kingdom</w:t>
                    </w:r>
                  </w:p>
                </w:txbxContent>
              </v:textbox>
            </v:shape>
            <w10:wrap anchorx="page" anchory="page"/>
          </v:group>
        </w:pict>
      </w:r>
      <w:r w:rsidR="00971DD9">
        <w:rPr>
          <w:rFonts w:ascii="Times New Roman"/>
          <w:noProof/>
          <w:sz w:val="20"/>
        </w:rPr>
        <w:drawing>
          <wp:inline distT="0" distB="0" distL="0" distR="0" wp14:anchorId="49C12EB6" wp14:editId="1329E76B">
            <wp:extent cx="311977" cy="30118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311977" cy="301180"/>
                    </a:xfrm>
                    <a:prstGeom prst="rect">
                      <a:avLst/>
                    </a:prstGeom>
                  </pic:spPr>
                </pic:pic>
              </a:graphicData>
            </a:graphic>
          </wp:inline>
        </w:drawing>
      </w:r>
      <w:r w:rsidR="00971DD9">
        <w:rPr>
          <w:rFonts w:ascii="Times New Roman"/>
          <w:sz w:val="20"/>
        </w:rPr>
        <w:t xml:space="preserve"> </w:t>
      </w:r>
      <w:r>
        <w:pict w14:anchorId="0D84CBC4">
          <v:group id="_x0000_s1055" style="width:96.3pt;height:13.45pt;mso-position-horizontal-relative:char;mso-position-vertical-relative:line" coordsize="1926,269">
            <v:shape id="_x0000_s1065" type="#_x0000_t75" style="position:absolute;top:7;width:217;height:254">
              <v:imagedata r:id="rId9" o:title=""/>
            </v:shape>
            <v:shape id="_x0000_s1064" type="#_x0000_t75" style="position:absolute;left:251;width:500;height:269">
              <v:imagedata r:id="rId10" o:title=""/>
            </v:shape>
            <v:shape id="_x0000_s1063" style="position:absolute;left:967;top:1;width:255;height:266" coordorigin="968,1" coordsize="255,266" o:spt="100" adj="0,,0" path="m1095,1r-46,8l1008,33,979,74r-11,60l977,188r25,43l1042,258r52,9l1150,257r22,-16l1096,241r-42,-9l1026,208r-16,-34l1004,135r6,-41l1026,60r28,-23l1095,29r79,l1145,10,1095,1xm1174,29r-79,l1134,36r29,21l1180,90r6,42l1182,171r-15,35l1139,231r-43,10l1172,241r18,-13l1214,185r9,-53l1213,77,1186,36r-12,-7xe" fillcolor="#1b4d4a" stroked="f">
              <v:stroke joinstyle="round"/>
              <v:formulas/>
              <v:path arrowok="t" o:connecttype="segments"/>
            </v:shape>
            <v:line id="_x0000_s1062" style="position:absolute" from="1562,8" to="1562,261" strokecolor="#1b4d4a" strokeweight=".60078mm"/>
            <v:shape id="_x0000_s1061" type="#_x0000_t75" style="position:absolute;left:1618;top:1;width:209;height:266">
              <v:imagedata r:id="rId11" o:title=""/>
            </v:shape>
            <v:shape id="_x0000_s1060" type="#_x0000_t75" style="position:absolute;left:1259;top:1;width:233;height:266">
              <v:imagedata r:id="rId12" o:title=""/>
            </v:shape>
            <v:line id="_x0000_s1059" style="position:absolute" from="790,246" to="956,246" strokecolor="#1b4d4a" strokeweight="1.5pt"/>
            <v:line id="_x0000_s1058" style="position:absolute" from="807,7" to="807,231" strokecolor="#1b4d4a" strokeweight=".59444mm"/>
            <v:shape id="_x0000_s1057" style="position:absolute;left:1862;top:2;width:63;height:63" coordorigin="1863,3" coordsize="63,63" o:spt="100" adj="0,,0" path="m1894,3r-12,2l1872,12r-7,10l1863,34r2,12l1872,56r10,7l1894,65r12,-2l1910,60r-31,l1868,48r,-29l1880,7r30,l1906,5,1894,3xm1910,7r-30,l1909,8r11,11l1920,48r-11,12l1910,60r6,-4l1923,46r2,-12l1923,22r-7,-10l1910,7xe" fillcolor="#1b4d4a" stroked="f">
              <v:stroke joinstyle="round"/>
              <v:formulas/>
              <v:path arrowok="t" o:connecttype="segments"/>
            </v:shape>
            <v:shape id="_x0000_s1056" style="position:absolute;left:1882;top:16;width:27;height:35" coordorigin="1882,16" coordsize="27,35" o:spt="100" adj="0,,0" path="m1893,16r-11,l1882,51r7,l1889,38r13,l1901,37r2,-1l1908,34r,-1l1889,33r,-11l1907,22r-1,-2l1901,16r-8,xm1902,38r-8,l1901,51r8,l1902,38xm1907,22r-12,l1897,22r4,2l1901,32r-8,1l1908,33r,-10l1907,22xe" fillcolor="#1b4d4a" stroked="f">
              <v:stroke joinstyle="round"/>
              <v:formulas/>
              <v:path arrowok="t" o:connecttype="segments"/>
            </v:shape>
            <w10:anchorlock/>
          </v:group>
        </w:pict>
      </w:r>
    </w:p>
    <w:p w14:paraId="0212473B" w14:textId="77777777" w:rsidR="00B84A53" w:rsidRDefault="007B626B">
      <w:pPr>
        <w:pStyle w:val="BodyText"/>
        <w:spacing w:line="20" w:lineRule="exact"/>
        <w:ind w:left="8989"/>
        <w:rPr>
          <w:rFonts w:ascii="Times New Roman"/>
          <w:sz w:val="2"/>
        </w:rPr>
      </w:pPr>
      <w:r>
        <w:rPr>
          <w:rFonts w:ascii="Times New Roman"/>
          <w:sz w:val="2"/>
        </w:rPr>
      </w:r>
      <w:r>
        <w:rPr>
          <w:rFonts w:ascii="Times New Roman"/>
          <w:sz w:val="2"/>
        </w:rPr>
        <w:pict w14:anchorId="541593B1">
          <v:group id="_x0000_s1053" style="width:96.1pt;height:.55pt;mso-position-horizontal-relative:char;mso-position-vertical-relative:line" coordsize="1922,11">
            <v:line id="_x0000_s1054" style="position:absolute" from="0,5" to="1921,5" strokecolor="#1b4d4a" strokeweight=".17675mm"/>
            <w10:anchorlock/>
          </v:group>
        </w:pict>
      </w:r>
    </w:p>
    <w:p w14:paraId="124354DD" w14:textId="77777777" w:rsidR="00B84A53" w:rsidRDefault="00AA1828">
      <w:pPr>
        <w:spacing w:before="78"/>
        <w:ind w:right="1364"/>
        <w:jc w:val="right"/>
        <w:rPr>
          <w:rFonts w:ascii="Cambria"/>
        </w:rPr>
      </w:pPr>
      <w:proofErr w:type="spellStart"/>
      <w:r>
        <w:rPr>
          <w:rFonts w:ascii="Cambria"/>
          <w:color w:val="666766"/>
        </w:rPr>
        <w:t>Research</w:t>
      </w:r>
      <w:proofErr w:type="spellEnd"/>
    </w:p>
    <w:p w14:paraId="3C1B5F21" w14:textId="77777777" w:rsidR="00B84A53" w:rsidRDefault="00B84A53">
      <w:pPr>
        <w:pStyle w:val="BodyText"/>
        <w:spacing w:before="3"/>
        <w:rPr>
          <w:rFonts w:ascii="Cambria"/>
          <w:sz w:val="20"/>
        </w:rPr>
      </w:pPr>
    </w:p>
    <w:p w14:paraId="011D525A" w14:textId="0B621A81" w:rsidR="00B84A53" w:rsidRPr="006B4F3A" w:rsidRDefault="00AA1828">
      <w:pPr>
        <w:spacing w:before="94"/>
        <w:ind w:left="120"/>
        <w:rPr>
          <w:rFonts w:asciiTheme="majorHAnsi" w:hAnsiTheme="majorHAnsi"/>
          <w:sz w:val="18"/>
          <w:szCs w:val="24"/>
        </w:rPr>
      </w:pPr>
      <w:r w:rsidRPr="006B4F3A">
        <w:rPr>
          <w:rFonts w:asciiTheme="majorHAnsi" w:hAnsiTheme="majorHAnsi"/>
          <w:b/>
          <w:color w:val="4C4D4D"/>
          <w:sz w:val="20"/>
          <w:szCs w:val="24"/>
        </w:rPr>
        <w:t>DOSSIER S</w:t>
      </w:r>
      <w:r w:rsidR="00AC6BA8" w:rsidRPr="006B4F3A">
        <w:rPr>
          <w:rFonts w:asciiTheme="majorHAnsi" w:hAnsiTheme="majorHAnsi"/>
          <w:b/>
          <w:color w:val="4C4D4D"/>
          <w:sz w:val="20"/>
          <w:szCs w:val="24"/>
        </w:rPr>
        <w:t>PÉ</w:t>
      </w:r>
      <w:r w:rsidRPr="006B4F3A">
        <w:rPr>
          <w:rFonts w:asciiTheme="majorHAnsi" w:hAnsiTheme="majorHAnsi"/>
          <w:b/>
          <w:color w:val="4C4D4D"/>
          <w:sz w:val="20"/>
          <w:szCs w:val="24"/>
        </w:rPr>
        <w:t xml:space="preserve">CIAL COVID-19 </w:t>
      </w:r>
      <w:r w:rsidRPr="006B4F3A">
        <w:rPr>
          <w:rFonts w:asciiTheme="majorHAnsi" w:hAnsiTheme="majorHAnsi"/>
          <w:color w:val="4C4D4D"/>
          <w:sz w:val="18"/>
          <w:szCs w:val="24"/>
        </w:rPr>
        <w:t>| 3ème édition | 27 mars 2020</w:t>
      </w:r>
    </w:p>
    <w:p w14:paraId="5CED069C" w14:textId="77777777" w:rsidR="00B84A53" w:rsidRDefault="00B84A53">
      <w:pPr>
        <w:pStyle w:val="BodyText"/>
        <w:rPr>
          <w:sz w:val="20"/>
        </w:rPr>
      </w:pPr>
    </w:p>
    <w:p w14:paraId="0C236631" w14:textId="32D5B835" w:rsidR="00B84A53" w:rsidRPr="006B4F3A" w:rsidRDefault="00AA1828">
      <w:pPr>
        <w:spacing w:before="120" w:line="235" w:lineRule="auto"/>
        <w:ind w:left="120" w:right="4331"/>
        <w:rPr>
          <w:rFonts w:asciiTheme="majorHAnsi" w:hAnsiTheme="majorHAnsi"/>
          <w:sz w:val="54"/>
        </w:rPr>
      </w:pPr>
      <w:r w:rsidRPr="006B4F3A">
        <w:rPr>
          <w:rFonts w:asciiTheme="majorHAnsi" w:hAnsiTheme="majorHAnsi"/>
          <w:color w:val="1B4D4A"/>
          <w:sz w:val="54"/>
        </w:rPr>
        <w:t xml:space="preserve">L’immobilier </w:t>
      </w:r>
      <w:r w:rsidR="007B626B">
        <w:rPr>
          <w:rFonts w:asciiTheme="majorHAnsi" w:hAnsiTheme="majorHAnsi"/>
          <w:color w:val="1B4D4A"/>
          <w:sz w:val="54"/>
        </w:rPr>
        <w:t>L</w:t>
      </w:r>
      <w:r w:rsidRPr="006B4F3A">
        <w:rPr>
          <w:rFonts w:asciiTheme="majorHAnsi" w:hAnsiTheme="majorHAnsi"/>
          <w:color w:val="1B4D4A"/>
          <w:sz w:val="54"/>
        </w:rPr>
        <w:t xml:space="preserve">ogistique face </w:t>
      </w:r>
      <w:bookmarkStart w:id="0" w:name="_GoBack"/>
      <w:bookmarkEnd w:id="0"/>
      <w:r w:rsidR="006B4F3A" w:rsidRPr="006B4F3A">
        <w:rPr>
          <w:rFonts w:asciiTheme="majorHAnsi" w:hAnsiTheme="majorHAnsi"/>
          <w:color w:val="1B4D4A"/>
          <w:sz w:val="54"/>
        </w:rPr>
        <w:t>à</w:t>
      </w:r>
      <w:r w:rsidRPr="006B4F3A">
        <w:rPr>
          <w:rFonts w:asciiTheme="majorHAnsi" w:hAnsiTheme="majorHAnsi"/>
          <w:color w:val="1B4D4A"/>
          <w:sz w:val="54"/>
        </w:rPr>
        <w:t xml:space="preserve"> l’</w:t>
      </w:r>
      <w:r w:rsidR="007B626B">
        <w:rPr>
          <w:rFonts w:asciiTheme="majorHAnsi" w:hAnsiTheme="majorHAnsi"/>
          <w:color w:val="1B4D4A"/>
          <w:sz w:val="54"/>
        </w:rPr>
        <w:t>E</w:t>
      </w:r>
      <w:r w:rsidRPr="006B4F3A">
        <w:rPr>
          <w:rFonts w:asciiTheme="majorHAnsi" w:hAnsiTheme="majorHAnsi"/>
          <w:color w:val="1B4D4A"/>
          <w:sz w:val="54"/>
        </w:rPr>
        <w:t>pidémie de COVID-19</w:t>
      </w:r>
    </w:p>
    <w:p w14:paraId="45142ABC" w14:textId="77777777" w:rsidR="00B84A53" w:rsidRDefault="00B84A53">
      <w:pPr>
        <w:pStyle w:val="BodyText"/>
        <w:rPr>
          <w:rFonts w:ascii="Cambria"/>
          <w:sz w:val="20"/>
        </w:rPr>
      </w:pPr>
    </w:p>
    <w:p w14:paraId="31B84C55" w14:textId="77777777" w:rsidR="00B84A53" w:rsidRDefault="00B84A53">
      <w:pPr>
        <w:pStyle w:val="BodyText"/>
        <w:rPr>
          <w:rFonts w:ascii="Cambria"/>
          <w:sz w:val="20"/>
        </w:rPr>
      </w:pPr>
    </w:p>
    <w:p w14:paraId="06553126" w14:textId="77777777" w:rsidR="00B84A53" w:rsidRDefault="00B84A53">
      <w:pPr>
        <w:pStyle w:val="BodyText"/>
        <w:rPr>
          <w:rFonts w:ascii="Cambria"/>
          <w:sz w:val="20"/>
        </w:rPr>
      </w:pPr>
    </w:p>
    <w:p w14:paraId="0D4B313C" w14:textId="77777777" w:rsidR="00B84A53" w:rsidRDefault="00B84A53">
      <w:pPr>
        <w:pStyle w:val="BodyText"/>
        <w:rPr>
          <w:rFonts w:ascii="Cambria"/>
          <w:sz w:val="20"/>
        </w:rPr>
      </w:pPr>
    </w:p>
    <w:p w14:paraId="18AC87A4" w14:textId="77777777" w:rsidR="00B84A53" w:rsidRDefault="00B84A53">
      <w:pPr>
        <w:pStyle w:val="BodyText"/>
        <w:rPr>
          <w:rFonts w:ascii="Cambria"/>
          <w:sz w:val="20"/>
        </w:rPr>
      </w:pPr>
    </w:p>
    <w:p w14:paraId="2DDC64F0" w14:textId="77777777" w:rsidR="00B84A53" w:rsidRDefault="00B84A53">
      <w:pPr>
        <w:pStyle w:val="BodyText"/>
        <w:rPr>
          <w:rFonts w:ascii="Cambria"/>
          <w:sz w:val="20"/>
        </w:rPr>
      </w:pPr>
    </w:p>
    <w:p w14:paraId="7B19142A" w14:textId="77777777" w:rsidR="00B84A53" w:rsidRDefault="00B84A53">
      <w:pPr>
        <w:pStyle w:val="BodyText"/>
        <w:rPr>
          <w:rFonts w:ascii="Cambria"/>
          <w:sz w:val="20"/>
        </w:rPr>
      </w:pPr>
    </w:p>
    <w:p w14:paraId="0C278C51" w14:textId="77777777" w:rsidR="00B84A53" w:rsidRDefault="00B84A53">
      <w:pPr>
        <w:pStyle w:val="BodyText"/>
        <w:rPr>
          <w:rFonts w:ascii="Cambria"/>
          <w:sz w:val="20"/>
        </w:rPr>
      </w:pPr>
    </w:p>
    <w:p w14:paraId="643EB90B" w14:textId="77777777" w:rsidR="00B84A53" w:rsidRDefault="00B84A53">
      <w:pPr>
        <w:pStyle w:val="BodyText"/>
        <w:rPr>
          <w:rFonts w:ascii="Cambria"/>
          <w:sz w:val="20"/>
        </w:rPr>
      </w:pPr>
    </w:p>
    <w:p w14:paraId="554DCEFC" w14:textId="77777777" w:rsidR="00B84A53" w:rsidRDefault="00B84A53">
      <w:pPr>
        <w:pStyle w:val="BodyText"/>
        <w:rPr>
          <w:rFonts w:ascii="Cambria"/>
          <w:sz w:val="20"/>
        </w:rPr>
      </w:pPr>
    </w:p>
    <w:p w14:paraId="250A7A48" w14:textId="77777777" w:rsidR="00B84A53" w:rsidRDefault="00B84A53">
      <w:pPr>
        <w:pStyle w:val="BodyText"/>
        <w:rPr>
          <w:rFonts w:ascii="Cambria"/>
          <w:sz w:val="20"/>
        </w:rPr>
      </w:pPr>
    </w:p>
    <w:p w14:paraId="1E01E2BE" w14:textId="77777777" w:rsidR="00B84A53" w:rsidRDefault="00B84A53">
      <w:pPr>
        <w:pStyle w:val="BodyText"/>
        <w:rPr>
          <w:rFonts w:ascii="Cambria"/>
          <w:sz w:val="20"/>
        </w:rPr>
      </w:pPr>
    </w:p>
    <w:p w14:paraId="49644A8C" w14:textId="77777777" w:rsidR="00B84A53" w:rsidRDefault="00B84A53">
      <w:pPr>
        <w:pStyle w:val="BodyText"/>
        <w:rPr>
          <w:rFonts w:ascii="Cambria"/>
          <w:sz w:val="20"/>
        </w:rPr>
      </w:pPr>
    </w:p>
    <w:p w14:paraId="278CA731" w14:textId="77777777" w:rsidR="00B84A53" w:rsidRDefault="00B84A53">
      <w:pPr>
        <w:pStyle w:val="BodyText"/>
        <w:rPr>
          <w:rFonts w:ascii="Cambria"/>
          <w:sz w:val="20"/>
        </w:rPr>
      </w:pPr>
    </w:p>
    <w:p w14:paraId="59F6BD78" w14:textId="77777777" w:rsidR="00B84A53" w:rsidRDefault="00B84A53">
      <w:pPr>
        <w:pStyle w:val="BodyText"/>
        <w:rPr>
          <w:rFonts w:ascii="Cambria"/>
          <w:sz w:val="20"/>
        </w:rPr>
      </w:pPr>
    </w:p>
    <w:p w14:paraId="69CF870C" w14:textId="77777777" w:rsidR="00B84A53" w:rsidRDefault="00B84A53">
      <w:pPr>
        <w:pStyle w:val="BodyText"/>
        <w:rPr>
          <w:rFonts w:ascii="Cambria"/>
          <w:sz w:val="20"/>
        </w:rPr>
      </w:pPr>
    </w:p>
    <w:p w14:paraId="597CCB1F" w14:textId="77777777" w:rsidR="00B84A53" w:rsidRDefault="00B84A53">
      <w:pPr>
        <w:pStyle w:val="BodyText"/>
        <w:rPr>
          <w:rFonts w:ascii="Cambria"/>
          <w:sz w:val="20"/>
        </w:rPr>
      </w:pPr>
    </w:p>
    <w:p w14:paraId="23895674" w14:textId="77777777" w:rsidR="00B84A53" w:rsidRDefault="00B84A53">
      <w:pPr>
        <w:pStyle w:val="BodyText"/>
        <w:rPr>
          <w:rFonts w:ascii="Cambria"/>
          <w:sz w:val="20"/>
        </w:rPr>
      </w:pPr>
    </w:p>
    <w:p w14:paraId="66C67316" w14:textId="77777777" w:rsidR="00B84A53" w:rsidRDefault="00B84A53">
      <w:pPr>
        <w:pStyle w:val="BodyText"/>
        <w:rPr>
          <w:rFonts w:ascii="Cambria"/>
          <w:sz w:val="20"/>
        </w:rPr>
      </w:pPr>
    </w:p>
    <w:p w14:paraId="6639EFC0" w14:textId="77777777" w:rsidR="00B84A53" w:rsidRDefault="00B84A53">
      <w:pPr>
        <w:pStyle w:val="BodyText"/>
        <w:rPr>
          <w:rFonts w:ascii="Cambria"/>
          <w:sz w:val="20"/>
        </w:rPr>
      </w:pPr>
    </w:p>
    <w:p w14:paraId="57AF9402" w14:textId="77777777" w:rsidR="00B84A53" w:rsidRDefault="00B84A53">
      <w:pPr>
        <w:pStyle w:val="BodyText"/>
        <w:rPr>
          <w:rFonts w:ascii="Cambria"/>
          <w:sz w:val="20"/>
        </w:rPr>
      </w:pPr>
    </w:p>
    <w:p w14:paraId="05CDE2DA" w14:textId="77777777" w:rsidR="00B84A53" w:rsidRDefault="00B84A53">
      <w:pPr>
        <w:pStyle w:val="BodyText"/>
        <w:rPr>
          <w:rFonts w:ascii="Cambria"/>
          <w:sz w:val="20"/>
        </w:rPr>
      </w:pPr>
    </w:p>
    <w:p w14:paraId="46847BAB" w14:textId="77777777" w:rsidR="00B84A53" w:rsidRDefault="00B84A53">
      <w:pPr>
        <w:pStyle w:val="BodyText"/>
        <w:rPr>
          <w:rFonts w:ascii="Cambria"/>
          <w:sz w:val="20"/>
        </w:rPr>
      </w:pPr>
    </w:p>
    <w:p w14:paraId="63892AFB" w14:textId="77777777" w:rsidR="00B84A53" w:rsidRDefault="00B84A53">
      <w:pPr>
        <w:pStyle w:val="BodyText"/>
        <w:rPr>
          <w:rFonts w:ascii="Cambria"/>
          <w:sz w:val="20"/>
        </w:rPr>
      </w:pPr>
    </w:p>
    <w:p w14:paraId="2042D38D" w14:textId="77777777" w:rsidR="00B84A53" w:rsidRDefault="00B84A53">
      <w:pPr>
        <w:pStyle w:val="BodyText"/>
        <w:rPr>
          <w:rFonts w:ascii="Cambria"/>
          <w:sz w:val="20"/>
        </w:rPr>
      </w:pPr>
    </w:p>
    <w:p w14:paraId="3EBA7F12" w14:textId="77777777" w:rsidR="00B84A53" w:rsidRDefault="00B84A53">
      <w:pPr>
        <w:pStyle w:val="BodyText"/>
        <w:rPr>
          <w:rFonts w:ascii="Cambria"/>
          <w:sz w:val="20"/>
        </w:rPr>
      </w:pPr>
    </w:p>
    <w:p w14:paraId="13A9ADE2" w14:textId="77777777" w:rsidR="00B84A53" w:rsidRDefault="00B84A53">
      <w:pPr>
        <w:pStyle w:val="BodyText"/>
        <w:rPr>
          <w:rFonts w:ascii="Cambria"/>
          <w:sz w:val="20"/>
        </w:rPr>
      </w:pPr>
    </w:p>
    <w:p w14:paraId="6F80707E" w14:textId="77777777" w:rsidR="00B84A53" w:rsidRDefault="00B84A53">
      <w:pPr>
        <w:pStyle w:val="BodyText"/>
        <w:rPr>
          <w:rFonts w:ascii="Cambria"/>
          <w:sz w:val="20"/>
        </w:rPr>
      </w:pPr>
    </w:p>
    <w:p w14:paraId="2D689739" w14:textId="77777777" w:rsidR="00B84A53" w:rsidRDefault="00B84A53">
      <w:pPr>
        <w:pStyle w:val="BodyText"/>
        <w:rPr>
          <w:rFonts w:ascii="Cambria"/>
          <w:sz w:val="20"/>
        </w:rPr>
      </w:pPr>
    </w:p>
    <w:p w14:paraId="207E2C84" w14:textId="77777777" w:rsidR="00B84A53" w:rsidRDefault="00B84A53">
      <w:pPr>
        <w:pStyle w:val="BodyText"/>
        <w:rPr>
          <w:rFonts w:ascii="Cambria"/>
          <w:sz w:val="20"/>
        </w:rPr>
      </w:pPr>
    </w:p>
    <w:p w14:paraId="237E9062" w14:textId="77777777" w:rsidR="00B84A53" w:rsidRDefault="00B84A53">
      <w:pPr>
        <w:pStyle w:val="BodyText"/>
        <w:rPr>
          <w:rFonts w:ascii="Cambria"/>
          <w:sz w:val="20"/>
        </w:rPr>
      </w:pPr>
    </w:p>
    <w:p w14:paraId="4975BD91" w14:textId="77777777" w:rsidR="00B84A53" w:rsidRDefault="00B84A53">
      <w:pPr>
        <w:pStyle w:val="BodyText"/>
        <w:rPr>
          <w:rFonts w:ascii="Cambria"/>
          <w:sz w:val="20"/>
        </w:rPr>
      </w:pPr>
    </w:p>
    <w:p w14:paraId="44F645D5" w14:textId="77777777" w:rsidR="00B84A53" w:rsidRDefault="00B84A53">
      <w:pPr>
        <w:pStyle w:val="BodyText"/>
        <w:rPr>
          <w:rFonts w:ascii="Cambria"/>
          <w:sz w:val="20"/>
        </w:rPr>
      </w:pPr>
    </w:p>
    <w:p w14:paraId="36E1D445" w14:textId="77777777" w:rsidR="00B84A53" w:rsidRDefault="00B84A53">
      <w:pPr>
        <w:pStyle w:val="BodyText"/>
        <w:rPr>
          <w:rFonts w:ascii="Cambria"/>
          <w:sz w:val="20"/>
        </w:rPr>
      </w:pPr>
    </w:p>
    <w:p w14:paraId="325A056C" w14:textId="1B8D9949" w:rsidR="00B84A53" w:rsidRPr="00BA776B" w:rsidRDefault="00AA1828">
      <w:pPr>
        <w:pStyle w:val="Heading2"/>
        <w:spacing w:before="93" w:line="285" w:lineRule="auto"/>
        <w:ind w:right="60"/>
        <w:rPr>
          <w:rFonts w:ascii="Lucida Sans" w:hAnsi="Lucida Sans"/>
          <w:b/>
        </w:rPr>
      </w:pPr>
      <w:r w:rsidRPr="00BA776B">
        <w:rPr>
          <w:rFonts w:ascii="Lucida Sans" w:hAnsi="Lucida Sans"/>
          <w:b/>
          <w:color w:val="4C4D4D"/>
        </w:rPr>
        <w:t xml:space="preserve">Dans ce troisième volet de notre série consacrée </w:t>
      </w:r>
      <w:r w:rsidR="00C53E7D">
        <w:rPr>
          <w:rFonts w:ascii="Lucida Sans" w:hAnsi="Lucida Sans"/>
          <w:b/>
          <w:color w:val="4C4D4D"/>
        </w:rPr>
        <w:t>au</w:t>
      </w:r>
      <w:r w:rsidRPr="00BA776B">
        <w:rPr>
          <w:rFonts w:ascii="Lucida Sans" w:hAnsi="Lucida Sans"/>
          <w:b/>
          <w:color w:val="4C4D4D"/>
        </w:rPr>
        <w:t xml:space="preserve"> COVID</w:t>
      </w:r>
      <w:r w:rsidR="00806FB2">
        <w:rPr>
          <w:rFonts w:ascii="Lucida Sans" w:hAnsi="Lucida Sans"/>
          <w:b/>
          <w:color w:val="4C4D4D"/>
        </w:rPr>
        <w:noBreakHyphen/>
      </w:r>
      <w:r w:rsidRPr="00BA776B">
        <w:rPr>
          <w:rFonts w:ascii="Lucida Sans" w:hAnsi="Lucida Sans"/>
          <w:b/>
          <w:color w:val="4C4D4D"/>
        </w:rPr>
        <w:t xml:space="preserve">19 et ses conséquences sur l’immobilier logistique, nous revenons sur notre expérience en Chine et sur d’autres données </w:t>
      </w:r>
      <w:r w:rsidR="00FB04D6">
        <w:rPr>
          <w:rFonts w:ascii="Lucida Sans" w:hAnsi="Lucida Sans"/>
          <w:b/>
          <w:color w:val="4C4D4D"/>
        </w:rPr>
        <w:t xml:space="preserve">globales </w:t>
      </w:r>
      <w:r w:rsidRPr="00BA776B">
        <w:rPr>
          <w:rFonts w:ascii="Lucida Sans" w:hAnsi="Lucida Sans"/>
          <w:b/>
          <w:color w:val="4C4D4D"/>
        </w:rPr>
        <w:t>exclusives.</w:t>
      </w:r>
    </w:p>
    <w:p w14:paraId="428EDAD3" w14:textId="2BE430D4" w:rsidR="00B84A53" w:rsidRDefault="00AA1828" w:rsidP="00304EE9">
      <w:pPr>
        <w:spacing w:before="96" w:line="292" w:lineRule="auto"/>
        <w:ind w:left="118" w:right="494"/>
        <w:rPr>
          <w:sz w:val="20"/>
        </w:rPr>
      </w:pPr>
      <w:r>
        <w:rPr>
          <w:color w:val="4C4D4D"/>
          <w:sz w:val="20"/>
        </w:rPr>
        <w:t>En Chine, l’activité redémarre dans notre secteur et pour nos clients. Alors que de nombreuses personnes reprennent le travail, des signes de reprises économiques se font sentir. L’indice Prologis IBI (</w:t>
      </w:r>
      <w:proofErr w:type="spellStart"/>
      <w:r>
        <w:rPr>
          <w:color w:val="4C4D4D"/>
          <w:sz w:val="20"/>
        </w:rPr>
        <w:t>Industrial</w:t>
      </w:r>
      <w:proofErr w:type="spellEnd"/>
      <w:r>
        <w:rPr>
          <w:color w:val="4C4D4D"/>
          <w:sz w:val="20"/>
        </w:rPr>
        <w:t xml:space="preserve"> Business Indicator™), qui recense l’activité des clients aux États</w:t>
      </w:r>
      <w:r w:rsidR="00E21C13">
        <w:rPr>
          <w:color w:val="4C4D4D"/>
          <w:sz w:val="20"/>
        </w:rPr>
        <w:noBreakHyphen/>
      </w:r>
      <w:r>
        <w:rPr>
          <w:color w:val="4C4D4D"/>
          <w:sz w:val="20"/>
        </w:rPr>
        <w:t>Unis, enregistre un ralentissement, qui reste toutefois inférieur à celui ressenti lors de la crise de</w:t>
      </w:r>
      <w:r w:rsidR="00A16C03">
        <w:rPr>
          <w:color w:val="4C4D4D"/>
          <w:sz w:val="20"/>
        </w:rPr>
        <w:t> </w:t>
      </w:r>
      <w:r>
        <w:rPr>
          <w:color w:val="4C4D4D"/>
          <w:sz w:val="20"/>
        </w:rPr>
        <w:t xml:space="preserve">2008. </w:t>
      </w:r>
      <w:r w:rsidRPr="00A16C03">
        <w:rPr>
          <w:color w:val="4C4D4D"/>
          <w:sz w:val="20"/>
        </w:rPr>
        <w:t>Dans nos deux précédents rapports (</w:t>
      </w:r>
      <w:hyperlink r:id="rId13">
        <w:r>
          <w:rPr>
            <w:color w:val="00A766"/>
            <w:sz w:val="20"/>
            <w:u w:val="single" w:color="00A766"/>
          </w:rPr>
          <w:t>12 mars 2020</w:t>
        </w:r>
      </w:hyperlink>
      <w:r>
        <w:rPr>
          <w:color w:val="4C4D4D"/>
          <w:sz w:val="20"/>
        </w:rPr>
        <w:t xml:space="preserve">, </w:t>
      </w:r>
      <w:hyperlink r:id="rId14">
        <w:r>
          <w:rPr>
            <w:color w:val="00A766"/>
            <w:sz w:val="20"/>
            <w:u w:val="single" w:color="00A766"/>
          </w:rPr>
          <w:t>19 mars 2020</w:t>
        </w:r>
      </w:hyperlink>
      <w:r>
        <w:rPr>
          <w:color w:val="4C4D4D"/>
          <w:sz w:val="20"/>
        </w:rPr>
        <w:t>), nous avions identifié les facteurs éventuellement capables de freiner ce ralentissement pour l’immobilier logistique. Cette semaine, notre étude révèle que les taux d’utilisation restent élevés à environ 84 </w:t>
      </w:r>
      <w:r w:rsidR="00227822">
        <w:rPr>
          <w:color w:val="4C4D4D"/>
          <w:sz w:val="20"/>
        </w:rPr>
        <w:t>%</w:t>
      </w:r>
      <w:r>
        <w:rPr>
          <w:color w:val="4C4D4D"/>
          <w:sz w:val="20"/>
        </w:rPr>
        <w:t xml:space="preserve">, soit un peu moins que la moyenne des </w:t>
      </w:r>
      <w:r w:rsidR="006000D8">
        <w:rPr>
          <w:color w:val="4C4D4D"/>
          <w:sz w:val="20"/>
        </w:rPr>
        <w:t xml:space="preserve">quatre </w:t>
      </w:r>
      <w:r>
        <w:rPr>
          <w:color w:val="4C4D4D"/>
          <w:sz w:val="20"/>
        </w:rPr>
        <w:t xml:space="preserve">dernières années (85-87 %). Cette nouvelle donnée montre </w:t>
      </w:r>
      <w:r w:rsidR="00035364">
        <w:rPr>
          <w:color w:val="4C4D4D"/>
          <w:sz w:val="20"/>
        </w:rPr>
        <w:t>la capacité toujours limitée d</w:t>
      </w:r>
      <w:r>
        <w:rPr>
          <w:color w:val="4C4D4D"/>
          <w:sz w:val="20"/>
        </w:rPr>
        <w:t xml:space="preserve">es entrepôts </w:t>
      </w:r>
      <w:r w:rsidR="00035364">
        <w:rPr>
          <w:color w:val="4C4D4D"/>
          <w:sz w:val="20"/>
        </w:rPr>
        <w:t xml:space="preserve">à </w:t>
      </w:r>
      <w:r>
        <w:rPr>
          <w:color w:val="4C4D4D"/>
          <w:sz w:val="20"/>
        </w:rPr>
        <w:t>s’adapte</w:t>
      </w:r>
      <w:r w:rsidR="00137F01">
        <w:rPr>
          <w:color w:val="4C4D4D"/>
          <w:sz w:val="20"/>
        </w:rPr>
        <w:t>r</w:t>
      </w:r>
      <w:r>
        <w:rPr>
          <w:color w:val="4C4D4D"/>
          <w:sz w:val="20"/>
        </w:rPr>
        <w:t xml:space="preserve"> </w:t>
      </w:r>
      <w:r w:rsidR="00977C56">
        <w:rPr>
          <w:color w:val="4C4D4D"/>
          <w:sz w:val="20"/>
        </w:rPr>
        <w:t>à</w:t>
      </w:r>
      <w:r>
        <w:rPr>
          <w:color w:val="4C4D4D"/>
          <w:sz w:val="20"/>
        </w:rPr>
        <w:t xml:space="preserve"> la croissance là où </w:t>
      </w:r>
      <w:r w:rsidR="00977C56">
        <w:rPr>
          <w:color w:val="4C4D4D"/>
          <w:sz w:val="20"/>
        </w:rPr>
        <w:t>cela</w:t>
      </w:r>
      <w:r w:rsidR="00F97DD7">
        <w:rPr>
          <w:color w:val="4C4D4D"/>
          <w:sz w:val="20"/>
        </w:rPr>
        <w:t xml:space="preserve"> est nécessaire</w:t>
      </w:r>
      <w:r>
        <w:rPr>
          <w:color w:val="4C4D4D"/>
          <w:sz w:val="20"/>
        </w:rPr>
        <w:t>.</w:t>
      </w:r>
    </w:p>
    <w:p w14:paraId="7D6D9B47" w14:textId="77777777" w:rsidR="00B84A53" w:rsidRDefault="00B84A53">
      <w:pPr>
        <w:spacing w:line="292" w:lineRule="auto"/>
        <w:rPr>
          <w:sz w:val="20"/>
        </w:rPr>
        <w:sectPr w:rsidR="00B84A53">
          <w:footerReference w:type="default" r:id="rId15"/>
          <w:type w:val="continuous"/>
          <w:pgSz w:w="12240" w:h="15840"/>
          <w:pgMar w:top="720" w:right="400" w:bottom="280" w:left="600" w:header="720" w:footer="720" w:gutter="0"/>
          <w:cols w:space="720"/>
        </w:sectPr>
      </w:pPr>
    </w:p>
    <w:p w14:paraId="45EB36A4" w14:textId="020EC12A" w:rsidR="00B5625C" w:rsidRPr="00FE1F7F" w:rsidRDefault="00B5625C" w:rsidP="00B5625C">
      <w:pPr>
        <w:spacing w:before="103" w:line="300" w:lineRule="auto"/>
        <w:ind w:right="8"/>
        <w:rPr>
          <w:rFonts w:asciiTheme="minorBidi" w:hAnsiTheme="minorBidi" w:cstheme="minorBidi"/>
          <w:sz w:val="16"/>
          <w:szCs w:val="16"/>
        </w:rPr>
      </w:pPr>
      <w:r w:rsidRPr="00FE1F7F">
        <w:rPr>
          <w:rFonts w:asciiTheme="minorBidi" w:hAnsiTheme="minorBidi" w:cstheme="minorBidi"/>
          <w:color w:val="4C4D4D"/>
          <w:sz w:val="16"/>
          <w:szCs w:val="16"/>
        </w:rPr>
        <w:lastRenderedPageBreak/>
        <w:t>Alors que l’épidémie semble reculer en Chine, notre recherche a identifié quatre indicateurs clés qui pourraient s’appliquer en Europe et aux États</w:t>
      </w:r>
      <w:r w:rsidR="006C2C10">
        <w:rPr>
          <w:rFonts w:asciiTheme="minorBidi" w:hAnsiTheme="minorBidi" w:cstheme="minorBidi"/>
          <w:color w:val="4C4D4D"/>
          <w:sz w:val="16"/>
          <w:szCs w:val="16"/>
        </w:rPr>
        <w:noBreakHyphen/>
      </w:r>
      <w:r w:rsidRPr="00FE1F7F">
        <w:rPr>
          <w:rFonts w:asciiTheme="minorBidi" w:hAnsiTheme="minorBidi" w:cstheme="minorBidi"/>
          <w:color w:val="4C4D4D"/>
          <w:sz w:val="16"/>
          <w:szCs w:val="16"/>
        </w:rPr>
        <w:t>Unis dans les mois à venir.</w:t>
      </w:r>
    </w:p>
    <w:p w14:paraId="6B9C1275" w14:textId="77777777" w:rsidR="00B5625C" w:rsidRPr="00FE1F7F" w:rsidRDefault="00B5625C" w:rsidP="00B5625C">
      <w:pPr>
        <w:spacing w:before="2"/>
        <w:rPr>
          <w:rFonts w:asciiTheme="minorBidi" w:hAnsiTheme="minorBidi" w:cstheme="minorBidi"/>
          <w:sz w:val="16"/>
          <w:szCs w:val="16"/>
        </w:rPr>
      </w:pPr>
    </w:p>
    <w:p w14:paraId="5D7D0D63" w14:textId="4F901902" w:rsidR="00B5625C" w:rsidRPr="00FE1F7F" w:rsidRDefault="00B5625C" w:rsidP="00B5625C">
      <w:pPr>
        <w:numPr>
          <w:ilvl w:val="0"/>
          <w:numId w:val="2"/>
        </w:numPr>
        <w:tabs>
          <w:tab w:val="left" w:pos="390"/>
        </w:tabs>
        <w:spacing w:line="300" w:lineRule="auto"/>
        <w:ind w:right="107"/>
        <w:rPr>
          <w:rFonts w:asciiTheme="minorBidi" w:hAnsiTheme="minorBidi" w:cstheme="minorBidi"/>
          <w:sz w:val="16"/>
          <w:szCs w:val="16"/>
        </w:rPr>
      </w:pPr>
      <w:r w:rsidRPr="00FE1F7F">
        <w:rPr>
          <w:rFonts w:asciiTheme="minorBidi" w:hAnsiTheme="minorBidi" w:cstheme="minorBidi"/>
          <w:b/>
          <w:color w:val="4C4D4D"/>
          <w:sz w:val="16"/>
          <w:szCs w:val="16"/>
        </w:rPr>
        <w:t>Continuité de l’activité</w:t>
      </w:r>
      <w:r w:rsidR="00EB13C3">
        <w:rPr>
          <w:rFonts w:asciiTheme="minorBidi" w:hAnsiTheme="minorBidi" w:cstheme="minorBidi"/>
          <w:b/>
          <w:color w:val="4C4D4D"/>
          <w:sz w:val="16"/>
          <w:szCs w:val="16"/>
        </w:rPr>
        <w:t>.</w:t>
      </w:r>
      <w:r w:rsidRPr="00FE1F7F">
        <w:rPr>
          <w:rFonts w:asciiTheme="minorBidi" w:hAnsiTheme="minorBidi" w:cstheme="minorBidi"/>
          <w:b/>
          <w:color w:val="4C4D4D"/>
          <w:sz w:val="16"/>
          <w:szCs w:val="16"/>
        </w:rPr>
        <w:t xml:space="preserve"> </w:t>
      </w:r>
      <w:r w:rsidRPr="00FE1F7F">
        <w:rPr>
          <w:rFonts w:asciiTheme="minorBidi" w:hAnsiTheme="minorBidi" w:cstheme="minorBidi"/>
          <w:color w:val="4C4D4D"/>
          <w:sz w:val="16"/>
          <w:szCs w:val="16"/>
        </w:rPr>
        <w:t xml:space="preserve">Durant toute cette période, les activités de logistique ont continué hormis lorsqu’un confinement strict a été exigé. Les clients Prologis qui sont restés ouverts ont pris toute une série de mesures afin d’assurer la sécurité au sein des entrepôts et des </w:t>
      </w:r>
      <w:r w:rsidR="00FD5D2E">
        <w:rPr>
          <w:rFonts w:asciiTheme="minorBidi" w:hAnsiTheme="minorBidi" w:cstheme="minorBidi"/>
          <w:color w:val="4C4D4D"/>
          <w:sz w:val="16"/>
          <w:szCs w:val="16"/>
        </w:rPr>
        <w:t xml:space="preserve">mis en place les </w:t>
      </w:r>
      <w:r w:rsidRPr="00FE1F7F">
        <w:rPr>
          <w:rFonts w:asciiTheme="minorBidi" w:hAnsiTheme="minorBidi" w:cstheme="minorBidi"/>
          <w:color w:val="4C4D4D"/>
          <w:sz w:val="16"/>
          <w:szCs w:val="16"/>
        </w:rPr>
        <w:t>actions correctives nécessaire</w:t>
      </w:r>
      <w:r w:rsidR="00FD5D2E">
        <w:rPr>
          <w:rFonts w:asciiTheme="minorBidi" w:hAnsiTheme="minorBidi" w:cstheme="minorBidi"/>
          <w:color w:val="4C4D4D"/>
          <w:sz w:val="16"/>
          <w:szCs w:val="16"/>
        </w:rPr>
        <w:t>s</w:t>
      </w:r>
      <w:r w:rsidRPr="00FE1F7F">
        <w:rPr>
          <w:rFonts w:asciiTheme="minorBidi" w:hAnsiTheme="minorBidi" w:cstheme="minorBidi"/>
          <w:color w:val="4C4D4D"/>
          <w:sz w:val="16"/>
          <w:szCs w:val="16"/>
        </w:rPr>
        <w:t>. Les retards de construction dans le secteur sont légion et les projets qui reprennent mettent plus de temps.</w:t>
      </w:r>
    </w:p>
    <w:p w14:paraId="2177649C" w14:textId="7CDC4A08" w:rsidR="00B5625C" w:rsidRPr="00FE1F7F" w:rsidRDefault="00B5625C" w:rsidP="00B5625C">
      <w:pPr>
        <w:numPr>
          <w:ilvl w:val="0"/>
          <w:numId w:val="2"/>
        </w:numPr>
        <w:tabs>
          <w:tab w:val="left" w:pos="390"/>
        </w:tabs>
        <w:spacing w:before="83" w:line="300" w:lineRule="auto"/>
        <w:ind w:right="72"/>
        <w:rPr>
          <w:rFonts w:asciiTheme="minorBidi" w:hAnsiTheme="minorBidi" w:cstheme="minorBidi"/>
          <w:sz w:val="16"/>
          <w:szCs w:val="16"/>
        </w:rPr>
      </w:pPr>
      <w:proofErr w:type="spellStart"/>
      <w:r w:rsidRPr="00FE1F7F">
        <w:rPr>
          <w:rFonts w:asciiTheme="minorBidi" w:hAnsiTheme="minorBidi" w:cstheme="minorBidi"/>
          <w:b/>
          <w:color w:val="4C4D4D"/>
          <w:sz w:val="16"/>
          <w:szCs w:val="16"/>
        </w:rPr>
        <w:t>Réaccélération</w:t>
      </w:r>
      <w:proofErr w:type="spellEnd"/>
      <w:r w:rsidRPr="00FE1F7F">
        <w:rPr>
          <w:rFonts w:asciiTheme="minorBidi" w:hAnsiTheme="minorBidi" w:cstheme="minorBidi"/>
          <w:b/>
          <w:color w:val="4C4D4D"/>
          <w:sz w:val="16"/>
          <w:szCs w:val="16"/>
        </w:rPr>
        <w:t xml:space="preserve"> du e-commerce</w:t>
      </w:r>
      <w:r w:rsidR="00883535">
        <w:rPr>
          <w:rFonts w:asciiTheme="minorBidi" w:hAnsiTheme="minorBidi" w:cstheme="minorBidi"/>
          <w:b/>
          <w:color w:val="4C4D4D"/>
          <w:sz w:val="16"/>
          <w:szCs w:val="16"/>
        </w:rPr>
        <w:t>.</w:t>
      </w:r>
      <w:r w:rsidRPr="00FE1F7F">
        <w:rPr>
          <w:rFonts w:asciiTheme="minorBidi" w:hAnsiTheme="minorBidi" w:cstheme="minorBidi"/>
          <w:b/>
          <w:color w:val="4C4D4D"/>
          <w:sz w:val="16"/>
          <w:szCs w:val="16"/>
        </w:rPr>
        <w:t xml:space="preserve"> </w:t>
      </w:r>
      <w:r w:rsidRPr="00FE1F7F">
        <w:rPr>
          <w:rFonts w:asciiTheme="minorBidi" w:hAnsiTheme="minorBidi" w:cstheme="minorBidi"/>
          <w:color w:val="4C4D4D"/>
          <w:sz w:val="16"/>
          <w:szCs w:val="16"/>
        </w:rPr>
        <w:t>Les clients ont montré une attitude résiliente en se focalisant sur les consommateurs finaux et la distribution en ville, notamment nos clients e-commerce. En définitive, les livraisons ont pu se dérouler sans interruption majeure, malgré la pénurie de la main d'œuvre. Par opposition, le secteur automobile s’est montré moins actif. Que ce soit en Europe ou aux États-Unis, plusieurs segments du commerce en ligne ont affiché de belles performances, notamment l’alimentation et la grande distribution.</w:t>
      </w:r>
    </w:p>
    <w:p w14:paraId="7C5B7FBF" w14:textId="3C395156" w:rsidR="00B5625C" w:rsidRPr="00FE1F7F" w:rsidRDefault="00B5625C" w:rsidP="00B5625C">
      <w:pPr>
        <w:numPr>
          <w:ilvl w:val="0"/>
          <w:numId w:val="2"/>
        </w:numPr>
        <w:tabs>
          <w:tab w:val="left" w:pos="390"/>
        </w:tabs>
        <w:spacing w:before="83" w:line="300" w:lineRule="auto"/>
        <w:ind w:right="72"/>
        <w:rPr>
          <w:rFonts w:asciiTheme="minorBidi" w:hAnsiTheme="minorBidi" w:cstheme="minorBidi"/>
          <w:bCs/>
          <w:color w:val="4C4D4D"/>
          <w:sz w:val="16"/>
          <w:szCs w:val="16"/>
        </w:rPr>
      </w:pPr>
      <w:r w:rsidRPr="00FE1F7F">
        <w:rPr>
          <w:rFonts w:asciiTheme="minorBidi" w:hAnsiTheme="minorBidi" w:cstheme="minorBidi"/>
          <w:b/>
          <w:color w:val="4C4D4D"/>
          <w:sz w:val="16"/>
          <w:szCs w:val="16"/>
        </w:rPr>
        <w:t xml:space="preserve">Signatures de contrats de location </w:t>
      </w:r>
      <w:r w:rsidRPr="00FE1F7F">
        <w:rPr>
          <w:rFonts w:asciiTheme="minorBidi" w:hAnsiTheme="minorBidi" w:cstheme="minorBidi"/>
          <w:bCs/>
          <w:color w:val="4C4D4D"/>
          <w:sz w:val="16"/>
          <w:szCs w:val="16"/>
        </w:rPr>
        <w:t xml:space="preserve">Malgré les mesures de confinement et les restrictions liées aux voyages qui ont limité les </w:t>
      </w:r>
      <w:r w:rsidR="00190BF1">
        <w:rPr>
          <w:rFonts w:asciiTheme="minorBidi" w:hAnsiTheme="minorBidi" w:cstheme="minorBidi"/>
          <w:bCs/>
          <w:color w:val="4C4D4D"/>
          <w:sz w:val="16"/>
          <w:szCs w:val="16"/>
        </w:rPr>
        <w:t>expositions</w:t>
      </w:r>
      <w:r w:rsidRPr="00FE1F7F">
        <w:rPr>
          <w:rFonts w:asciiTheme="minorBidi" w:hAnsiTheme="minorBidi" w:cstheme="minorBidi"/>
          <w:bCs/>
          <w:color w:val="4C4D4D"/>
          <w:sz w:val="16"/>
          <w:szCs w:val="16"/>
        </w:rPr>
        <w:t xml:space="preserve"> au pic de l’épidémie, l’activité a continué. En février et en mars, Prologis a signé plus d’une demi-douzaine de nouveaux contrats ou de renouvellements de contrat en Chine, équivalents à environ 2 millions de mètres carrés.</w:t>
      </w:r>
    </w:p>
    <w:p w14:paraId="5D40C2BD" w14:textId="36EC052B" w:rsidR="00B5625C" w:rsidRPr="00FE1F7F" w:rsidRDefault="00B5625C" w:rsidP="00B5625C">
      <w:pPr>
        <w:numPr>
          <w:ilvl w:val="0"/>
          <w:numId w:val="2"/>
        </w:numPr>
        <w:tabs>
          <w:tab w:val="left" w:pos="390"/>
        </w:tabs>
        <w:spacing w:before="83" w:line="300" w:lineRule="auto"/>
        <w:ind w:right="72"/>
        <w:rPr>
          <w:rFonts w:asciiTheme="minorBidi" w:hAnsiTheme="minorBidi" w:cstheme="minorBidi"/>
          <w:bCs/>
          <w:color w:val="4C4D4D"/>
          <w:sz w:val="16"/>
          <w:szCs w:val="16"/>
        </w:rPr>
      </w:pPr>
      <w:r w:rsidRPr="00FE1F7F">
        <w:rPr>
          <w:rFonts w:asciiTheme="minorBidi" w:hAnsiTheme="minorBidi" w:cstheme="minorBidi"/>
          <w:b/>
          <w:color w:val="4C4D4D"/>
          <w:sz w:val="16"/>
          <w:szCs w:val="16"/>
        </w:rPr>
        <w:t xml:space="preserve">Reprise </w:t>
      </w:r>
      <w:r w:rsidR="00532B76" w:rsidRPr="00FE1F7F">
        <w:rPr>
          <w:rFonts w:asciiTheme="minorBidi" w:hAnsiTheme="minorBidi" w:cstheme="minorBidi"/>
          <w:b/>
          <w:color w:val="4C4D4D"/>
          <w:sz w:val="16"/>
          <w:szCs w:val="16"/>
        </w:rPr>
        <w:t>économique</w:t>
      </w:r>
      <w:r w:rsidR="00532B76">
        <w:rPr>
          <w:rFonts w:asciiTheme="minorBidi" w:hAnsiTheme="minorBidi" w:cstheme="minorBidi"/>
          <w:b/>
          <w:color w:val="4C4D4D"/>
          <w:sz w:val="16"/>
          <w:szCs w:val="16"/>
        </w:rPr>
        <w:t>.</w:t>
      </w:r>
      <w:r w:rsidRPr="00FE1F7F">
        <w:rPr>
          <w:rFonts w:asciiTheme="minorBidi" w:hAnsiTheme="minorBidi" w:cstheme="minorBidi"/>
          <w:bCs/>
          <w:color w:val="4C4D4D"/>
          <w:sz w:val="16"/>
          <w:szCs w:val="16"/>
        </w:rPr>
        <w:t xml:space="preserve"> </w:t>
      </w:r>
      <w:r w:rsidRPr="00FE1F7F">
        <w:rPr>
          <w:rFonts w:asciiTheme="minorBidi" w:hAnsiTheme="minorBidi" w:cstheme="minorBidi"/>
          <w:color w:val="4C4D4D"/>
          <w:sz w:val="16"/>
          <w:szCs w:val="16"/>
        </w:rPr>
        <w:t>Une forte correction a eu lieu en janvier et février. Bien que récente, une reprise économique se fait sentir en Chine alors que les usines réouvrent et que la vie urbaine reprend son cours (tout en respectant les mesures de sécurité). Dans le même temps, le marché reste prudent et se méfie d’une deuxième vague de COVID-19. L'instabilité économique pourrait encore affaiblir la demande d'immobilier logistique à court terme</w:t>
      </w:r>
      <w:r w:rsidR="00532B76">
        <w:rPr>
          <w:rFonts w:asciiTheme="minorBidi" w:hAnsiTheme="minorBidi" w:cstheme="minorBidi"/>
          <w:color w:val="4C4D4D"/>
          <w:sz w:val="16"/>
          <w:szCs w:val="16"/>
        </w:rPr>
        <w:t>.</w:t>
      </w:r>
    </w:p>
    <w:p w14:paraId="187BAC59" w14:textId="77777777" w:rsidR="00B5625C" w:rsidRPr="00FE1F7F" w:rsidRDefault="00B5625C" w:rsidP="00B5625C">
      <w:pPr>
        <w:spacing w:before="2"/>
        <w:rPr>
          <w:rFonts w:asciiTheme="minorBidi" w:hAnsiTheme="minorBidi" w:cstheme="minorBidi"/>
          <w:sz w:val="16"/>
          <w:szCs w:val="16"/>
        </w:rPr>
      </w:pPr>
    </w:p>
    <w:p w14:paraId="5B8F8415" w14:textId="3A714F9D" w:rsidR="00B5625C" w:rsidRPr="00FE1F7F" w:rsidRDefault="00B5625C" w:rsidP="00B5625C">
      <w:pPr>
        <w:spacing w:line="300" w:lineRule="auto"/>
        <w:ind w:right="38"/>
        <w:rPr>
          <w:rFonts w:asciiTheme="minorBidi" w:hAnsiTheme="minorBidi" w:cstheme="minorBidi"/>
          <w:sz w:val="16"/>
          <w:szCs w:val="16"/>
        </w:rPr>
      </w:pPr>
      <w:r w:rsidRPr="00FE1F7F">
        <w:rPr>
          <w:rFonts w:asciiTheme="minorBidi" w:hAnsiTheme="minorBidi" w:cstheme="minorBidi"/>
          <w:b/>
          <w:color w:val="4C4D4D"/>
          <w:sz w:val="16"/>
          <w:szCs w:val="16"/>
        </w:rPr>
        <w:t xml:space="preserve">L’immobilier logistique en Europe et aux États-Unis va probablement connaître un ralentissement. </w:t>
      </w:r>
      <w:r w:rsidRPr="00FE1F7F">
        <w:rPr>
          <w:rFonts w:asciiTheme="minorBidi" w:hAnsiTheme="minorBidi" w:cstheme="minorBidi"/>
          <w:color w:val="4C4D4D"/>
          <w:sz w:val="16"/>
          <w:szCs w:val="16"/>
        </w:rPr>
        <w:t xml:space="preserve">Tout comme en Chine, les indicateurs économiques en Europe et aux États-Unis </w:t>
      </w:r>
      <w:r>
        <w:rPr>
          <w:rFonts w:asciiTheme="minorBidi" w:hAnsiTheme="minorBidi" w:cstheme="minorBidi"/>
          <w:color w:val="4C4D4D"/>
          <w:sz w:val="16"/>
          <w:szCs w:val="16"/>
        </w:rPr>
        <w:t>pointent</w:t>
      </w:r>
      <w:r w:rsidRPr="00FE1F7F">
        <w:rPr>
          <w:rFonts w:asciiTheme="minorBidi" w:hAnsiTheme="minorBidi" w:cstheme="minorBidi"/>
          <w:color w:val="4C4D4D"/>
          <w:sz w:val="16"/>
          <w:szCs w:val="16"/>
        </w:rPr>
        <w:t xml:space="preserve"> un fléchissement de l'activité. Notamment aux États-Unis où les premières demandes de prestations chômage ont atteint leur plus haut niveau. Les indices PMI dans le secteur des services ont en outre chuté aux États-Unis et en Europe à leurs plus bas historiques. Notre IBI a également diminué en mars, passant de 60 à 41,7. Les niveaux actuels sont au</w:t>
      </w:r>
      <w:r w:rsidR="00C843BF">
        <w:rPr>
          <w:rFonts w:asciiTheme="minorBidi" w:hAnsiTheme="minorBidi" w:cstheme="minorBidi"/>
          <w:color w:val="4C4D4D"/>
          <w:sz w:val="16"/>
          <w:szCs w:val="16"/>
        </w:rPr>
        <w:noBreakHyphen/>
      </w:r>
      <w:r w:rsidRPr="00FE1F7F">
        <w:rPr>
          <w:rFonts w:asciiTheme="minorBidi" w:hAnsiTheme="minorBidi" w:cstheme="minorBidi"/>
          <w:color w:val="4C4D4D"/>
          <w:sz w:val="16"/>
          <w:szCs w:val="16"/>
        </w:rPr>
        <w:t>dessus des plus bas de la grande crise financière, lorsque l'indice avait chuté à 31,1 en novembre</w:t>
      </w:r>
      <w:r w:rsidR="00373C64">
        <w:rPr>
          <w:rFonts w:asciiTheme="minorBidi" w:hAnsiTheme="minorBidi" w:cstheme="minorBidi"/>
          <w:color w:val="4C4D4D"/>
          <w:sz w:val="16"/>
          <w:szCs w:val="16"/>
        </w:rPr>
        <w:t> </w:t>
      </w:r>
      <w:r w:rsidRPr="00FE1F7F">
        <w:rPr>
          <w:rFonts w:asciiTheme="minorBidi" w:hAnsiTheme="minorBidi" w:cstheme="minorBidi"/>
          <w:color w:val="4C4D4D"/>
          <w:sz w:val="16"/>
          <w:szCs w:val="16"/>
        </w:rPr>
        <w:t>2008. Cette volatilité laisse présager une récession et une baisse de la demande en logistique, qui pourrait être freinée ou ralentie au deuxième semestre</w:t>
      </w:r>
      <w:r w:rsidR="00A94A5D">
        <w:rPr>
          <w:rFonts w:asciiTheme="minorBidi" w:hAnsiTheme="minorBidi" w:cstheme="minorBidi"/>
          <w:color w:val="4C4D4D"/>
          <w:sz w:val="16"/>
          <w:szCs w:val="16"/>
        </w:rPr>
        <w:t> </w:t>
      </w:r>
      <w:r w:rsidRPr="00FE1F7F">
        <w:rPr>
          <w:rFonts w:asciiTheme="minorBidi" w:hAnsiTheme="minorBidi" w:cstheme="minorBidi"/>
          <w:color w:val="4C4D4D"/>
          <w:sz w:val="16"/>
          <w:szCs w:val="16"/>
        </w:rPr>
        <w:t xml:space="preserve">2020, </w:t>
      </w:r>
      <w:r w:rsidR="00841F2D">
        <w:rPr>
          <w:rFonts w:asciiTheme="minorBidi" w:hAnsiTheme="minorBidi" w:cstheme="minorBidi"/>
          <w:color w:val="4C4D4D"/>
          <w:sz w:val="16"/>
          <w:szCs w:val="16"/>
        </w:rPr>
        <w:t>voire</w:t>
      </w:r>
      <w:r w:rsidRPr="00FE1F7F">
        <w:rPr>
          <w:rFonts w:asciiTheme="minorBidi" w:hAnsiTheme="minorBidi" w:cstheme="minorBidi"/>
          <w:color w:val="4C4D4D"/>
          <w:sz w:val="16"/>
          <w:szCs w:val="16"/>
        </w:rPr>
        <w:t xml:space="preserve"> </w:t>
      </w:r>
      <w:r w:rsidR="00841F2D">
        <w:rPr>
          <w:rFonts w:asciiTheme="minorBidi" w:hAnsiTheme="minorBidi" w:cstheme="minorBidi"/>
          <w:color w:val="4C4D4D"/>
          <w:sz w:val="16"/>
          <w:szCs w:val="16"/>
        </w:rPr>
        <w:t>avant</w:t>
      </w:r>
      <w:r w:rsidRPr="00FE1F7F">
        <w:rPr>
          <w:rFonts w:asciiTheme="minorBidi" w:hAnsiTheme="minorBidi" w:cstheme="minorBidi"/>
          <w:color w:val="4C4D4D"/>
          <w:sz w:val="16"/>
          <w:szCs w:val="16"/>
        </w:rPr>
        <w:t>, ce qui pose un risque pour le taux de vacance du marché et la croissance des loyers. L’autre différence par rapport à la crise de</w:t>
      </w:r>
      <w:r w:rsidR="00925B46">
        <w:rPr>
          <w:rFonts w:asciiTheme="minorBidi" w:hAnsiTheme="minorBidi" w:cstheme="minorBidi"/>
          <w:color w:val="4C4D4D"/>
          <w:sz w:val="16"/>
          <w:szCs w:val="16"/>
        </w:rPr>
        <w:t> </w:t>
      </w:r>
      <w:r w:rsidRPr="00FE1F7F">
        <w:rPr>
          <w:rFonts w:asciiTheme="minorBidi" w:hAnsiTheme="minorBidi" w:cstheme="minorBidi"/>
          <w:color w:val="4C4D4D"/>
          <w:sz w:val="16"/>
          <w:szCs w:val="16"/>
        </w:rPr>
        <w:t>2008 est un taux de vacance très bas dans un cycle qui entre dans une période d'incertitude. Aujourd'hui, les taux de vacance sont de 4,6 % aux États-Unis et au-dessous de 4 % en Europe, bien en-dessous des 7 % qui ont en moyenne prévalu en 2007-2008.</w:t>
      </w:r>
    </w:p>
    <w:p w14:paraId="2BCB0AD9" w14:textId="77777777" w:rsidR="00B5625C" w:rsidRPr="00FE1F7F" w:rsidRDefault="00B5625C" w:rsidP="00B5625C">
      <w:pPr>
        <w:spacing w:before="1"/>
        <w:rPr>
          <w:rFonts w:asciiTheme="minorBidi" w:hAnsiTheme="minorBidi" w:cstheme="minorBidi"/>
          <w:sz w:val="16"/>
          <w:szCs w:val="16"/>
        </w:rPr>
      </w:pPr>
    </w:p>
    <w:p w14:paraId="72465BFA" w14:textId="39F32EA6" w:rsidR="00B5625C" w:rsidRDefault="00B5625C" w:rsidP="00053C17">
      <w:pPr>
        <w:spacing w:line="300" w:lineRule="auto"/>
        <w:ind w:right="290"/>
        <w:rPr>
          <w:rFonts w:asciiTheme="minorBidi" w:hAnsiTheme="minorBidi"/>
          <w:color w:val="4C4D4D"/>
          <w:sz w:val="16"/>
          <w:szCs w:val="16"/>
        </w:rPr>
      </w:pPr>
      <w:r w:rsidRPr="00FE1F7F">
        <w:rPr>
          <w:rFonts w:asciiTheme="minorBidi" w:hAnsiTheme="minorBidi" w:cstheme="minorBidi"/>
          <w:color w:val="4C4D4D"/>
          <w:sz w:val="16"/>
          <w:szCs w:val="16"/>
        </w:rPr>
        <w:t>Ce mois-ci nous avons complété notre étude en mettant l’accent sur l'impact d</w:t>
      </w:r>
      <w:r w:rsidR="005354C4">
        <w:rPr>
          <w:rFonts w:asciiTheme="minorBidi" w:hAnsiTheme="minorBidi" w:cstheme="minorBidi"/>
          <w:color w:val="4C4D4D"/>
          <w:sz w:val="16"/>
          <w:szCs w:val="16"/>
        </w:rPr>
        <w:t>u</w:t>
      </w:r>
      <w:r w:rsidRPr="00FE1F7F">
        <w:rPr>
          <w:rFonts w:asciiTheme="minorBidi" w:hAnsiTheme="minorBidi" w:cstheme="minorBidi"/>
          <w:color w:val="4C4D4D"/>
          <w:sz w:val="16"/>
          <w:szCs w:val="16"/>
        </w:rPr>
        <w:t xml:space="preserve"> COVID</w:t>
      </w:r>
      <w:r w:rsidR="006A1A43">
        <w:rPr>
          <w:rFonts w:asciiTheme="minorBidi" w:hAnsiTheme="minorBidi" w:cstheme="minorBidi"/>
          <w:color w:val="4C4D4D"/>
          <w:sz w:val="16"/>
          <w:szCs w:val="16"/>
        </w:rPr>
        <w:noBreakHyphen/>
      </w:r>
      <w:r w:rsidRPr="00FE1F7F">
        <w:rPr>
          <w:rFonts w:asciiTheme="minorBidi" w:hAnsiTheme="minorBidi" w:cstheme="minorBidi"/>
          <w:color w:val="4C4D4D"/>
          <w:sz w:val="16"/>
          <w:szCs w:val="16"/>
        </w:rPr>
        <w:t>19 sur l'exploitation. Les données révèlent qu'une petite minorité (22 %) signale une forte baisse de l</w:t>
      </w:r>
      <w:r w:rsidR="00053C17">
        <w:rPr>
          <w:rFonts w:asciiTheme="minorBidi" w:hAnsiTheme="minorBidi" w:cstheme="minorBidi"/>
          <w:color w:val="4C4D4D"/>
          <w:sz w:val="16"/>
          <w:szCs w:val="16"/>
        </w:rPr>
        <w:t>’</w:t>
      </w:r>
      <w:r w:rsidRPr="00FE1F7F">
        <w:rPr>
          <w:rFonts w:asciiTheme="minorBidi" w:hAnsiTheme="minorBidi" w:cstheme="minorBidi"/>
          <w:color w:val="4C4D4D"/>
          <w:sz w:val="16"/>
          <w:szCs w:val="16"/>
        </w:rPr>
        <w:t>activité due (a) à l’absence de marchandise à distribuer ou (b) à la fermeture pour raison de sécurité - ces motifs étant tout deux possiblement transitoires.</w:t>
      </w:r>
      <w:r w:rsidR="00053C17">
        <w:rPr>
          <w:rFonts w:asciiTheme="minorBidi" w:hAnsiTheme="minorBidi" w:cstheme="minorBidi"/>
          <w:color w:val="4C4D4D"/>
          <w:sz w:val="16"/>
          <w:szCs w:val="16"/>
        </w:rPr>
        <w:t xml:space="preserve"> </w:t>
      </w:r>
      <w:r w:rsidRPr="00FE1F7F">
        <w:rPr>
          <w:rFonts w:asciiTheme="minorBidi" w:hAnsiTheme="minorBidi" w:cstheme="minorBidi"/>
          <w:color w:val="4C4D4D"/>
          <w:sz w:val="16"/>
          <w:szCs w:val="16"/>
        </w:rPr>
        <w:t xml:space="preserve">En revanche, une grande minorité (38 %) indique ne subir aucun changement, voire une augmentation de leur activité. Les autres clients interrogés ont indiqué un ralentissement modéré et </w:t>
      </w:r>
      <w:r w:rsidRPr="00FE1F7F">
        <w:rPr>
          <w:rFonts w:asciiTheme="minorBidi" w:hAnsiTheme="minorBidi" w:cstheme="minorBidi"/>
          <w:color w:val="4C4D4D"/>
          <w:sz w:val="16"/>
          <w:szCs w:val="16"/>
        </w:rPr>
        <w:t xml:space="preserve">prennent des mesures </w:t>
      </w:r>
      <w:r w:rsidR="0001625E">
        <w:rPr>
          <w:rFonts w:asciiTheme="minorBidi" w:hAnsiTheme="minorBidi" w:cstheme="minorBidi"/>
          <w:color w:val="4C4D4D"/>
          <w:sz w:val="16"/>
          <w:szCs w:val="16"/>
        </w:rPr>
        <w:t>préventives</w:t>
      </w:r>
      <w:r w:rsidRPr="00FE1F7F">
        <w:rPr>
          <w:rFonts w:asciiTheme="minorBidi" w:hAnsiTheme="minorBidi" w:cstheme="minorBidi"/>
          <w:color w:val="4C4D4D"/>
          <w:sz w:val="16"/>
          <w:szCs w:val="16"/>
        </w:rPr>
        <w:t>.</w:t>
      </w:r>
    </w:p>
    <w:p w14:paraId="10437C36" w14:textId="77777777" w:rsidR="00B5625C" w:rsidRPr="00ED10EC" w:rsidRDefault="00B5625C" w:rsidP="00B5625C">
      <w:pPr>
        <w:spacing w:line="300" w:lineRule="auto"/>
        <w:ind w:right="87"/>
        <w:rPr>
          <w:rFonts w:asciiTheme="minorBidi" w:hAnsiTheme="minorBidi" w:cstheme="minorBidi"/>
          <w:color w:val="4C4D4D"/>
          <w:sz w:val="16"/>
          <w:szCs w:val="16"/>
        </w:rPr>
      </w:pPr>
    </w:p>
    <w:p w14:paraId="0800D6CC" w14:textId="5B528036" w:rsidR="00B5625C" w:rsidRPr="00A20A48" w:rsidRDefault="00A20A48" w:rsidP="00B5625C">
      <w:pPr>
        <w:pStyle w:val="BodyText"/>
        <w:ind w:left="270"/>
        <w:rPr>
          <w:rFonts w:ascii="Lucida Sans" w:hAnsi="Lucida Sans" w:cstheme="minorBidi"/>
          <w:b/>
        </w:rPr>
      </w:pPr>
      <w:r w:rsidRPr="00A20A48">
        <w:rPr>
          <w:rFonts w:ascii="Lucida Sans" w:hAnsi="Lucida Sans" w:cstheme="minorBidi"/>
          <w:b/>
          <w:color w:val="00A766"/>
        </w:rPr>
        <w:t>F</w:t>
      </w:r>
      <w:r w:rsidR="00B5625C" w:rsidRPr="00A20A48">
        <w:rPr>
          <w:rFonts w:ascii="Lucida Sans" w:hAnsi="Lucida Sans" w:cstheme="minorBidi"/>
          <w:b/>
          <w:color w:val="00A766"/>
        </w:rPr>
        <w:t>onctionne</w:t>
      </w:r>
      <w:r w:rsidRPr="00A20A48">
        <w:rPr>
          <w:rFonts w:ascii="Lucida Sans" w:hAnsi="Lucida Sans" w:cstheme="minorBidi"/>
          <w:b/>
          <w:color w:val="00A766"/>
        </w:rPr>
        <w:t>ment</w:t>
      </w:r>
      <w:r w:rsidR="00B5625C" w:rsidRPr="00A20A48">
        <w:rPr>
          <w:rFonts w:ascii="Lucida Sans" w:hAnsi="Lucida Sans" w:cstheme="minorBidi"/>
          <w:b/>
          <w:color w:val="00A766"/>
        </w:rPr>
        <w:t xml:space="preserve"> </w:t>
      </w:r>
      <w:r w:rsidRPr="00A20A48">
        <w:rPr>
          <w:rFonts w:ascii="Lucida Sans" w:hAnsi="Lucida Sans" w:cstheme="minorBidi"/>
          <w:b/>
          <w:color w:val="00A766"/>
        </w:rPr>
        <w:t>du</w:t>
      </w:r>
      <w:r w:rsidR="00B5625C" w:rsidRPr="00A20A48">
        <w:rPr>
          <w:rFonts w:ascii="Lucida Sans" w:hAnsi="Lucida Sans" w:cstheme="minorBidi"/>
          <w:b/>
          <w:color w:val="00A766"/>
        </w:rPr>
        <w:t xml:space="preserve"> IBI</w:t>
      </w:r>
      <w:r w:rsidR="00B5625C" w:rsidRPr="00A20A48">
        <w:rPr>
          <w:rFonts w:ascii="Lucida Sans" w:hAnsi="Lucida Sans" w:cstheme="minorBidi"/>
          <w:b/>
          <w:color w:val="00A766"/>
          <w:vertAlign w:val="superscript"/>
        </w:rPr>
        <w:t>TM</w:t>
      </w:r>
    </w:p>
    <w:p w14:paraId="233D05E9" w14:textId="12311A32" w:rsidR="00B5625C" w:rsidRPr="00ED10EC" w:rsidRDefault="00B5625C" w:rsidP="00366179">
      <w:pPr>
        <w:pStyle w:val="BodyText"/>
        <w:spacing w:before="47" w:line="300" w:lineRule="auto"/>
        <w:ind w:left="270" w:right="298"/>
        <w:rPr>
          <w:rFonts w:asciiTheme="minorBidi" w:hAnsiTheme="minorBidi" w:cstheme="minorBidi"/>
        </w:rPr>
      </w:pPr>
      <w:r w:rsidRPr="00ED10EC">
        <w:rPr>
          <w:rFonts w:asciiTheme="minorBidi" w:hAnsiTheme="minorBidi" w:cstheme="minorBidi"/>
          <w:color w:val="4C4D4D"/>
        </w:rPr>
        <w:t>Cette étude mensuelle exclusive Prologis relative à nos clients américains a démarré en</w:t>
      </w:r>
      <w:r w:rsidR="000639BE">
        <w:rPr>
          <w:rFonts w:asciiTheme="minorBidi" w:hAnsiTheme="minorBidi" w:cstheme="minorBidi"/>
          <w:color w:val="4C4D4D"/>
        </w:rPr>
        <w:t> </w:t>
      </w:r>
      <w:r w:rsidRPr="00ED10EC">
        <w:rPr>
          <w:rFonts w:asciiTheme="minorBidi" w:hAnsiTheme="minorBidi" w:cstheme="minorBidi"/>
          <w:color w:val="4C4D4D"/>
        </w:rPr>
        <w:t xml:space="preserve">2007. Elle compile les niveaux d'activité et utilise ces données pour estimer le taux d'utilisation en cours dans le secteur (sur 100 %). L'indice d’activité est notre valeur référence. L’indice de diffusion est à 50, auquel on ajoute le pourcentage de clients qui ont déclaré un accroissement de l’activité et </w:t>
      </w:r>
      <w:r w:rsidR="00890F95">
        <w:rPr>
          <w:rFonts w:asciiTheme="minorBidi" w:hAnsiTheme="minorBidi" w:cstheme="minorBidi"/>
          <w:color w:val="4C4D4D"/>
        </w:rPr>
        <w:t xml:space="preserve">dont </w:t>
      </w:r>
      <w:r w:rsidRPr="00ED10EC">
        <w:rPr>
          <w:rFonts w:asciiTheme="minorBidi" w:hAnsiTheme="minorBidi" w:cstheme="minorBidi"/>
          <w:color w:val="4C4D4D"/>
        </w:rPr>
        <w:t>on soustrait le pourcentage de clients déclar</w:t>
      </w:r>
      <w:r w:rsidR="00F22698">
        <w:rPr>
          <w:rFonts w:asciiTheme="minorBidi" w:hAnsiTheme="minorBidi" w:cstheme="minorBidi"/>
          <w:color w:val="4C4D4D"/>
        </w:rPr>
        <w:t>a</w:t>
      </w:r>
      <w:r w:rsidRPr="00ED10EC">
        <w:rPr>
          <w:rFonts w:asciiTheme="minorBidi" w:hAnsiTheme="minorBidi" w:cstheme="minorBidi"/>
          <w:color w:val="4C4D4D"/>
        </w:rPr>
        <w:t xml:space="preserve">nt une baisse </w:t>
      </w:r>
      <w:r>
        <w:rPr>
          <w:rFonts w:asciiTheme="minorBidi" w:hAnsiTheme="minorBidi"/>
          <w:color w:val="4C4D4D"/>
        </w:rPr>
        <w:t>d</w:t>
      </w:r>
      <w:r w:rsidRPr="00ED10EC">
        <w:rPr>
          <w:rFonts w:asciiTheme="minorBidi" w:hAnsiTheme="minorBidi" w:cstheme="minorBidi"/>
          <w:color w:val="4C4D4D"/>
        </w:rPr>
        <w:t>'activité.</w:t>
      </w:r>
    </w:p>
    <w:p w14:paraId="77187F27" w14:textId="77777777" w:rsidR="00B5625C" w:rsidRDefault="00B5625C" w:rsidP="00B5625C">
      <w:pPr>
        <w:spacing w:before="108" w:line="292" w:lineRule="auto"/>
        <w:ind w:left="129" w:right="626"/>
        <w:rPr>
          <w:rFonts w:asciiTheme="minorBidi" w:hAnsiTheme="minorBidi"/>
          <w:b/>
          <w:color w:val="4C4D4D"/>
          <w:sz w:val="16"/>
          <w:szCs w:val="16"/>
        </w:rPr>
      </w:pPr>
      <w:r w:rsidRPr="00ED10EC">
        <w:rPr>
          <w:rFonts w:asciiTheme="minorBidi" w:hAnsiTheme="minorBidi" w:cstheme="minorBidi"/>
          <w:noProof/>
          <w:sz w:val="16"/>
          <w:szCs w:val="16"/>
        </w:rPr>
        <w:drawing>
          <wp:inline distT="0" distB="0" distL="0" distR="0" wp14:anchorId="4AC959B0" wp14:editId="298296B8">
            <wp:extent cx="3328124" cy="2567940"/>
            <wp:effectExtent l="0" t="0" r="5715" b="381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exe 1.JPG"/>
                    <pic:cNvPicPr/>
                  </pic:nvPicPr>
                  <pic:blipFill>
                    <a:blip r:embed="rId16">
                      <a:extLst>
                        <a:ext uri="{28A0092B-C50C-407E-A947-70E740481C1C}">
                          <a14:useLocalDpi xmlns:a14="http://schemas.microsoft.com/office/drawing/2010/main" val="0"/>
                        </a:ext>
                      </a:extLst>
                    </a:blip>
                    <a:stretch>
                      <a:fillRect/>
                    </a:stretch>
                  </pic:blipFill>
                  <pic:spPr>
                    <a:xfrm>
                      <a:off x="0" y="0"/>
                      <a:ext cx="3381437" cy="2609076"/>
                    </a:xfrm>
                    <a:prstGeom prst="rect">
                      <a:avLst/>
                    </a:prstGeom>
                  </pic:spPr>
                </pic:pic>
              </a:graphicData>
            </a:graphic>
          </wp:inline>
        </w:drawing>
      </w:r>
    </w:p>
    <w:p w14:paraId="01D2EE43" w14:textId="77777777" w:rsidR="00B5625C" w:rsidRPr="00FE1F7F" w:rsidRDefault="00B5625C" w:rsidP="006A2AE7">
      <w:pPr>
        <w:spacing w:before="108" w:line="293" w:lineRule="auto"/>
        <w:ind w:right="157"/>
        <w:rPr>
          <w:rFonts w:asciiTheme="minorBidi" w:hAnsiTheme="minorBidi" w:cstheme="minorBidi"/>
          <w:b/>
          <w:sz w:val="16"/>
          <w:szCs w:val="16"/>
        </w:rPr>
      </w:pPr>
      <w:r w:rsidRPr="00FE1F7F">
        <w:rPr>
          <w:rFonts w:asciiTheme="minorBidi" w:hAnsiTheme="minorBidi" w:cstheme="minorBidi"/>
          <w:b/>
          <w:color w:val="4C4D4D"/>
          <w:sz w:val="16"/>
          <w:szCs w:val="16"/>
        </w:rPr>
        <w:t xml:space="preserve">Comme nous l'avions déjà indiqué la semaine dernière, les nouveaux moteurs de croissance que sont la hausse des niveaux de stock et la </w:t>
      </w:r>
      <w:proofErr w:type="spellStart"/>
      <w:r w:rsidRPr="00FE1F7F">
        <w:rPr>
          <w:rFonts w:asciiTheme="minorBidi" w:hAnsiTheme="minorBidi" w:cstheme="minorBidi"/>
          <w:b/>
          <w:color w:val="4C4D4D"/>
          <w:sz w:val="16"/>
          <w:szCs w:val="16"/>
        </w:rPr>
        <w:t>réaccélération</w:t>
      </w:r>
      <w:proofErr w:type="spellEnd"/>
      <w:r w:rsidRPr="00FE1F7F">
        <w:rPr>
          <w:rFonts w:asciiTheme="minorBidi" w:hAnsiTheme="minorBidi" w:cstheme="minorBidi"/>
          <w:b/>
          <w:color w:val="4C4D4D"/>
          <w:sz w:val="16"/>
          <w:szCs w:val="16"/>
        </w:rPr>
        <w:t xml:space="preserve"> de l'e-commerce peuvent, associés à quatre facteurs, freiner le ralentissement de la logistique :</w:t>
      </w:r>
    </w:p>
    <w:p w14:paraId="140B33D2" w14:textId="77777777" w:rsidR="00B5625C" w:rsidRPr="00FE1F7F" w:rsidRDefault="00B5625C" w:rsidP="00B5625C">
      <w:pPr>
        <w:spacing w:before="4"/>
        <w:rPr>
          <w:rFonts w:asciiTheme="minorBidi" w:hAnsiTheme="minorBidi" w:cstheme="minorBidi"/>
          <w:b/>
          <w:sz w:val="16"/>
          <w:szCs w:val="16"/>
        </w:rPr>
      </w:pPr>
    </w:p>
    <w:p w14:paraId="0CCFAA9A" w14:textId="77777777" w:rsidR="00B5625C" w:rsidRPr="00FE1F7F" w:rsidRDefault="00B5625C" w:rsidP="003F6FD9">
      <w:pPr>
        <w:numPr>
          <w:ilvl w:val="0"/>
          <w:numId w:val="1"/>
        </w:numPr>
        <w:tabs>
          <w:tab w:val="left" w:pos="400"/>
        </w:tabs>
        <w:spacing w:line="288" w:lineRule="auto"/>
        <w:ind w:hanging="271"/>
        <w:rPr>
          <w:rFonts w:asciiTheme="minorBidi" w:hAnsiTheme="minorBidi" w:cstheme="minorBidi"/>
          <w:color w:val="4C4D4D"/>
          <w:sz w:val="16"/>
          <w:szCs w:val="16"/>
        </w:rPr>
      </w:pPr>
      <w:r w:rsidRPr="00FE1F7F">
        <w:rPr>
          <w:rFonts w:asciiTheme="minorBidi" w:hAnsiTheme="minorBidi" w:cstheme="minorBidi"/>
          <w:color w:val="4C4D4D"/>
          <w:sz w:val="16"/>
          <w:szCs w:val="16"/>
        </w:rPr>
        <w:t>Forte impulsion, marché à taux vacance très bas ;</w:t>
      </w:r>
    </w:p>
    <w:p w14:paraId="7F95FEFA" w14:textId="7E363D6E" w:rsidR="00B5625C" w:rsidRPr="00FE1F7F" w:rsidRDefault="00B5625C" w:rsidP="003F6FD9">
      <w:pPr>
        <w:numPr>
          <w:ilvl w:val="0"/>
          <w:numId w:val="1"/>
        </w:numPr>
        <w:tabs>
          <w:tab w:val="left" w:pos="400"/>
        </w:tabs>
        <w:spacing w:line="288" w:lineRule="auto"/>
        <w:ind w:left="402" w:hanging="272"/>
        <w:rPr>
          <w:rFonts w:asciiTheme="minorBidi" w:hAnsiTheme="minorBidi" w:cstheme="minorBidi"/>
          <w:color w:val="4C4D4D"/>
          <w:sz w:val="16"/>
          <w:szCs w:val="16"/>
        </w:rPr>
      </w:pPr>
      <w:r w:rsidRPr="00FE1F7F">
        <w:rPr>
          <w:rFonts w:asciiTheme="minorBidi" w:hAnsiTheme="minorBidi" w:cstheme="minorBidi"/>
          <w:color w:val="4C4D4D"/>
          <w:sz w:val="16"/>
          <w:szCs w:val="16"/>
        </w:rPr>
        <w:t>Demande et croissance diversifiées d</w:t>
      </w:r>
      <w:r w:rsidR="003F6FD9">
        <w:rPr>
          <w:rFonts w:asciiTheme="minorBidi" w:hAnsiTheme="minorBidi" w:cstheme="minorBidi"/>
          <w:color w:val="4C4D4D"/>
          <w:sz w:val="16"/>
          <w:szCs w:val="16"/>
        </w:rPr>
        <w:t>e</w:t>
      </w:r>
      <w:r w:rsidRPr="00FE1F7F">
        <w:rPr>
          <w:rFonts w:asciiTheme="minorBidi" w:hAnsiTheme="minorBidi" w:cstheme="minorBidi"/>
          <w:color w:val="4C4D4D"/>
          <w:sz w:val="16"/>
          <w:szCs w:val="16"/>
        </w:rPr>
        <w:t xml:space="preserve"> secteurs </w:t>
      </w:r>
      <w:r w:rsidR="003F6FD9">
        <w:rPr>
          <w:rFonts w:asciiTheme="minorBidi" w:hAnsiTheme="minorBidi" w:cstheme="minorBidi"/>
          <w:color w:val="4C4D4D"/>
          <w:sz w:val="16"/>
          <w:szCs w:val="16"/>
        </w:rPr>
        <w:t>comme l’</w:t>
      </w:r>
      <w:r w:rsidRPr="00FE1F7F">
        <w:rPr>
          <w:rFonts w:asciiTheme="minorBidi" w:hAnsiTheme="minorBidi" w:cstheme="minorBidi"/>
          <w:color w:val="4C4D4D"/>
          <w:sz w:val="16"/>
          <w:szCs w:val="16"/>
        </w:rPr>
        <w:t>e</w:t>
      </w:r>
      <w:r w:rsidR="00794C0F" w:rsidRPr="00AC6367">
        <w:rPr>
          <w:rFonts w:asciiTheme="minorBidi" w:hAnsiTheme="minorBidi" w:cstheme="minorBidi"/>
          <w:color w:val="4C4D4D"/>
          <w:sz w:val="16"/>
          <w:szCs w:val="16"/>
        </w:rPr>
        <w:noBreakHyphen/>
      </w:r>
      <w:r w:rsidRPr="00FE1F7F">
        <w:rPr>
          <w:rFonts w:asciiTheme="minorBidi" w:hAnsiTheme="minorBidi" w:cstheme="minorBidi"/>
          <w:color w:val="4C4D4D"/>
          <w:sz w:val="16"/>
          <w:szCs w:val="16"/>
        </w:rPr>
        <w:t xml:space="preserve">commerce, </w:t>
      </w:r>
      <w:r w:rsidR="003F6FD9">
        <w:rPr>
          <w:rFonts w:asciiTheme="minorBidi" w:hAnsiTheme="minorBidi" w:cstheme="minorBidi"/>
          <w:color w:val="4C4D4D"/>
          <w:sz w:val="16"/>
          <w:szCs w:val="16"/>
        </w:rPr>
        <w:t>l’</w:t>
      </w:r>
      <w:r w:rsidRPr="00FE1F7F">
        <w:rPr>
          <w:rFonts w:asciiTheme="minorBidi" w:hAnsiTheme="minorBidi" w:cstheme="minorBidi"/>
          <w:color w:val="4C4D4D"/>
          <w:sz w:val="16"/>
          <w:szCs w:val="16"/>
        </w:rPr>
        <w:t>alimentaire</w:t>
      </w:r>
      <w:r w:rsidR="00AC6367" w:rsidRPr="00AC6367">
        <w:rPr>
          <w:rFonts w:asciiTheme="minorBidi" w:hAnsiTheme="minorBidi" w:cstheme="minorBidi"/>
          <w:color w:val="4C4D4D"/>
          <w:sz w:val="16"/>
          <w:szCs w:val="16"/>
        </w:rPr>
        <w:t xml:space="preserve">, </w:t>
      </w:r>
      <w:r w:rsidR="003F6FD9">
        <w:rPr>
          <w:rFonts w:asciiTheme="minorBidi" w:hAnsiTheme="minorBidi" w:cstheme="minorBidi"/>
          <w:color w:val="4C4D4D"/>
          <w:sz w:val="16"/>
          <w:szCs w:val="16"/>
        </w:rPr>
        <w:t xml:space="preserve">le </w:t>
      </w:r>
      <w:r w:rsidR="00AC6367" w:rsidRPr="00AC6367">
        <w:rPr>
          <w:rFonts w:asciiTheme="minorBidi" w:hAnsiTheme="minorBidi" w:cstheme="minorBidi"/>
          <w:color w:val="4C4D4D"/>
          <w:sz w:val="16"/>
          <w:szCs w:val="16"/>
        </w:rPr>
        <w:t xml:space="preserve">bricolage et </w:t>
      </w:r>
      <w:r w:rsidR="003F6FD9">
        <w:rPr>
          <w:rFonts w:asciiTheme="minorBidi" w:hAnsiTheme="minorBidi" w:cstheme="minorBidi"/>
          <w:color w:val="4C4D4D"/>
          <w:sz w:val="16"/>
          <w:szCs w:val="16"/>
        </w:rPr>
        <w:t xml:space="preserve">la </w:t>
      </w:r>
      <w:r w:rsidR="00AC6367" w:rsidRPr="00AC6367">
        <w:rPr>
          <w:rFonts w:asciiTheme="minorBidi" w:hAnsiTheme="minorBidi" w:cstheme="minorBidi"/>
          <w:color w:val="4C4D4D"/>
          <w:sz w:val="16"/>
          <w:szCs w:val="16"/>
        </w:rPr>
        <w:t>décoration</w:t>
      </w:r>
      <w:r w:rsidR="003F6FD9">
        <w:rPr>
          <w:rFonts w:asciiTheme="minorBidi" w:hAnsiTheme="minorBidi" w:cstheme="minorBidi"/>
          <w:color w:val="4C4D4D"/>
          <w:sz w:val="16"/>
          <w:szCs w:val="16"/>
        </w:rPr>
        <w:t>,</w:t>
      </w:r>
      <w:r w:rsidRPr="00FE1F7F">
        <w:rPr>
          <w:rFonts w:asciiTheme="minorBidi" w:hAnsiTheme="minorBidi" w:cstheme="minorBidi"/>
          <w:color w:val="4C4D4D"/>
          <w:sz w:val="16"/>
          <w:szCs w:val="16"/>
        </w:rPr>
        <w:t xml:space="preserve"> en raison d</w:t>
      </w:r>
      <w:r w:rsidR="007D5156" w:rsidRPr="00AC6367">
        <w:rPr>
          <w:rFonts w:asciiTheme="minorBidi" w:hAnsiTheme="minorBidi" w:cstheme="minorBidi"/>
          <w:color w:val="4C4D4D"/>
          <w:sz w:val="16"/>
          <w:szCs w:val="16"/>
        </w:rPr>
        <w:t>u</w:t>
      </w:r>
      <w:r w:rsidRPr="00FE1F7F">
        <w:rPr>
          <w:rFonts w:asciiTheme="minorBidi" w:hAnsiTheme="minorBidi" w:cstheme="minorBidi"/>
          <w:color w:val="4C4D4D"/>
          <w:sz w:val="16"/>
          <w:szCs w:val="16"/>
        </w:rPr>
        <w:t xml:space="preserve"> COVID</w:t>
      </w:r>
      <w:r w:rsidR="00E95311" w:rsidRPr="00AC6367">
        <w:rPr>
          <w:rFonts w:asciiTheme="minorBidi" w:hAnsiTheme="minorBidi" w:cstheme="minorBidi"/>
          <w:color w:val="4C4D4D"/>
          <w:sz w:val="16"/>
          <w:szCs w:val="16"/>
        </w:rPr>
        <w:noBreakHyphen/>
      </w:r>
      <w:r w:rsidRPr="00FE1F7F">
        <w:rPr>
          <w:rFonts w:asciiTheme="minorBidi" w:hAnsiTheme="minorBidi" w:cstheme="minorBidi"/>
          <w:color w:val="4C4D4D"/>
          <w:sz w:val="16"/>
          <w:szCs w:val="16"/>
        </w:rPr>
        <w:t>19</w:t>
      </w:r>
      <w:r w:rsidR="00AC6367">
        <w:rPr>
          <w:rFonts w:asciiTheme="minorBidi" w:hAnsiTheme="minorBidi" w:cstheme="minorBidi"/>
          <w:color w:val="4C4D4D"/>
          <w:sz w:val="16"/>
          <w:szCs w:val="16"/>
        </w:rPr>
        <w:t xml:space="preserve">, </w:t>
      </w:r>
      <w:r w:rsidR="003F6FD9">
        <w:rPr>
          <w:rFonts w:asciiTheme="minorBidi" w:hAnsiTheme="minorBidi" w:cstheme="minorBidi"/>
          <w:color w:val="4C4D4D"/>
          <w:sz w:val="16"/>
          <w:szCs w:val="16"/>
        </w:rPr>
        <w:t xml:space="preserve">et </w:t>
      </w:r>
      <w:r w:rsidRPr="00FE1F7F">
        <w:rPr>
          <w:rFonts w:asciiTheme="minorBidi" w:hAnsiTheme="minorBidi" w:cstheme="minorBidi"/>
          <w:color w:val="4C4D4D"/>
          <w:sz w:val="16"/>
          <w:szCs w:val="16"/>
        </w:rPr>
        <w:t xml:space="preserve">malgré </w:t>
      </w:r>
      <w:r w:rsidR="00AC6367">
        <w:rPr>
          <w:rFonts w:asciiTheme="minorBidi" w:hAnsiTheme="minorBidi" w:cstheme="minorBidi"/>
          <w:color w:val="4C4D4D"/>
          <w:sz w:val="16"/>
          <w:szCs w:val="16"/>
        </w:rPr>
        <w:t>la</w:t>
      </w:r>
      <w:r w:rsidRPr="00FE1F7F">
        <w:rPr>
          <w:rFonts w:asciiTheme="minorBidi" w:hAnsiTheme="minorBidi" w:cstheme="minorBidi"/>
          <w:color w:val="4C4D4D"/>
          <w:sz w:val="16"/>
          <w:szCs w:val="16"/>
        </w:rPr>
        <w:t xml:space="preserve"> faiblesse</w:t>
      </w:r>
      <w:r w:rsidR="00AC6367">
        <w:rPr>
          <w:rFonts w:asciiTheme="minorBidi" w:hAnsiTheme="minorBidi" w:cstheme="minorBidi"/>
          <w:color w:val="4C4D4D"/>
          <w:sz w:val="16"/>
          <w:szCs w:val="16"/>
        </w:rPr>
        <w:t xml:space="preserve"> </w:t>
      </w:r>
      <w:r w:rsidR="003F6FD9">
        <w:rPr>
          <w:rFonts w:asciiTheme="minorBidi" w:hAnsiTheme="minorBidi" w:cstheme="minorBidi"/>
          <w:color w:val="4C4D4D"/>
          <w:sz w:val="16"/>
          <w:szCs w:val="16"/>
        </w:rPr>
        <w:t>de certains</w:t>
      </w:r>
      <w:r w:rsidRPr="00FE1F7F">
        <w:rPr>
          <w:rFonts w:asciiTheme="minorBidi" w:hAnsiTheme="minorBidi" w:cstheme="minorBidi"/>
          <w:color w:val="4C4D4D"/>
          <w:sz w:val="16"/>
          <w:szCs w:val="16"/>
        </w:rPr>
        <w:t>, comme l’automobile.</w:t>
      </w:r>
    </w:p>
    <w:p w14:paraId="3863AFC3" w14:textId="3179A53C" w:rsidR="00B5625C" w:rsidRPr="00FE1F7F" w:rsidRDefault="00B5625C" w:rsidP="003F6FD9">
      <w:pPr>
        <w:numPr>
          <w:ilvl w:val="0"/>
          <w:numId w:val="1"/>
        </w:numPr>
        <w:tabs>
          <w:tab w:val="left" w:pos="400"/>
        </w:tabs>
        <w:spacing w:line="288" w:lineRule="auto"/>
        <w:ind w:hanging="271"/>
        <w:rPr>
          <w:rFonts w:asciiTheme="minorBidi" w:hAnsiTheme="minorBidi" w:cstheme="minorBidi"/>
          <w:sz w:val="16"/>
          <w:szCs w:val="16"/>
        </w:rPr>
      </w:pPr>
      <w:r w:rsidRPr="00FE1F7F">
        <w:rPr>
          <w:rFonts w:asciiTheme="minorBidi" w:hAnsiTheme="minorBidi" w:cstheme="minorBidi"/>
          <w:color w:val="4C4D4D"/>
          <w:sz w:val="16"/>
          <w:szCs w:val="16"/>
        </w:rPr>
        <w:t>Reconstitution des stocks en provenance de Chine ;</w:t>
      </w:r>
    </w:p>
    <w:p w14:paraId="635A97E4" w14:textId="0B36F8E8" w:rsidR="00B5625C" w:rsidRPr="00FE1F7F" w:rsidRDefault="004366BB" w:rsidP="003F6FD9">
      <w:pPr>
        <w:numPr>
          <w:ilvl w:val="0"/>
          <w:numId w:val="1"/>
        </w:numPr>
        <w:tabs>
          <w:tab w:val="left" w:pos="400"/>
        </w:tabs>
        <w:spacing w:line="288" w:lineRule="auto"/>
        <w:ind w:hanging="271"/>
        <w:rPr>
          <w:rFonts w:asciiTheme="minorBidi" w:hAnsiTheme="minorBidi" w:cstheme="minorBidi"/>
          <w:sz w:val="16"/>
          <w:szCs w:val="16"/>
        </w:rPr>
      </w:pPr>
      <w:r>
        <w:rPr>
          <w:rFonts w:asciiTheme="minorBidi" w:hAnsiTheme="minorBidi" w:cstheme="minorBidi"/>
          <w:color w:val="4C4D4D"/>
          <w:sz w:val="16"/>
          <w:szCs w:val="16"/>
        </w:rPr>
        <w:t>Ralentissement du lancement des développements</w:t>
      </w:r>
      <w:r w:rsidR="00BB25A3">
        <w:rPr>
          <w:rFonts w:asciiTheme="minorBidi" w:hAnsiTheme="minorBidi" w:cstheme="minorBidi"/>
          <w:color w:val="4C4D4D"/>
          <w:sz w:val="16"/>
          <w:szCs w:val="16"/>
        </w:rPr>
        <w:t>.</w:t>
      </w:r>
    </w:p>
    <w:p w14:paraId="2581EDAE" w14:textId="77777777" w:rsidR="00B5625C" w:rsidRPr="00FE1F7F" w:rsidRDefault="00B5625C" w:rsidP="00B5625C">
      <w:pPr>
        <w:spacing w:before="7"/>
        <w:rPr>
          <w:rFonts w:asciiTheme="minorBidi" w:hAnsiTheme="minorBidi" w:cstheme="minorBidi"/>
          <w:sz w:val="16"/>
          <w:szCs w:val="16"/>
        </w:rPr>
      </w:pPr>
    </w:p>
    <w:p w14:paraId="0487FC9D" w14:textId="5283A924" w:rsidR="00B5625C" w:rsidRPr="00FE1F7F" w:rsidRDefault="00B5625C" w:rsidP="0004373B">
      <w:pPr>
        <w:spacing w:line="300" w:lineRule="auto"/>
        <w:ind w:right="298"/>
        <w:rPr>
          <w:rFonts w:asciiTheme="minorBidi" w:hAnsiTheme="minorBidi" w:cstheme="minorBidi"/>
          <w:sz w:val="16"/>
          <w:szCs w:val="16"/>
        </w:rPr>
      </w:pPr>
      <w:r w:rsidRPr="00FE1F7F">
        <w:rPr>
          <w:rFonts w:asciiTheme="minorBidi" w:hAnsiTheme="minorBidi" w:cstheme="minorBidi"/>
          <w:color w:val="4C4D4D"/>
          <w:sz w:val="16"/>
          <w:szCs w:val="16"/>
        </w:rPr>
        <w:t xml:space="preserve">Cette semaine, nos données indiquent que les entrepôts continuent de fonctionner avec une capacité limitée de flexibilité afin de tenir compte de la croissance. Le taux d'utilisation reste élevé à 84,5 %. La tendance </w:t>
      </w:r>
      <w:r w:rsidR="0004373B">
        <w:rPr>
          <w:rFonts w:asciiTheme="minorBidi" w:hAnsiTheme="minorBidi" w:cstheme="minorBidi"/>
          <w:color w:val="4C4D4D"/>
          <w:sz w:val="16"/>
          <w:szCs w:val="16"/>
        </w:rPr>
        <w:t>à</w:t>
      </w:r>
      <w:r w:rsidRPr="00FE1F7F">
        <w:rPr>
          <w:rFonts w:asciiTheme="minorBidi" w:hAnsiTheme="minorBidi" w:cstheme="minorBidi"/>
          <w:color w:val="4C4D4D"/>
          <w:sz w:val="16"/>
          <w:szCs w:val="16"/>
        </w:rPr>
        <w:t xml:space="preserve"> court terme sera dominée par une baisse de l'activité économique et une disponibilité limitée de</w:t>
      </w:r>
      <w:r w:rsidR="001042AE">
        <w:rPr>
          <w:rFonts w:asciiTheme="minorBidi" w:hAnsiTheme="minorBidi" w:cstheme="minorBidi"/>
          <w:color w:val="4C4D4D"/>
          <w:sz w:val="16"/>
          <w:szCs w:val="16"/>
        </w:rPr>
        <w:t>s</w:t>
      </w:r>
      <w:r w:rsidRPr="00FE1F7F">
        <w:rPr>
          <w:rFonts w:asciiTheme="minorBidi" w:hAnsiTheme="minorBidi" w:cstheme="minorBidi"/>
          <w:color w:val="4C4D4D"/>
          <w:sz w:val="16"/>
          <w:szCs w:val="16"/>
        </w:rPr>
        <w:t xml:space="preserve"> capitaux, en particulier pour les </w:t>
      </w:r>
      <w:r w:rsidR="0013316A">
        <w:rPr>
          <w:rFonts w:asciiTheme="minorBidi" w:hAnsiTheme="minorBidi" w:cstheme="minorBidi"/>
          <w:color w:val="4C4D4D"/>
          <w:sz w:val="16"/>
          <w:szCs w:val="16"/>
        </w:rPr>
        <w:t>PME</w:t>
      </w:r>
      <w:r w:rsidRPr="00FE1F7F">
        <w:rPr>
          <w:rFonts w:asciiTheme="minorBidi" w:hAnsiTheme="minorBidi" w:cstheme="minorBidi"/>
          <w:color w:val="4C4D4D"/>
          <w:sz w:val="16"/>
          <w:szCs w:val="16"/>
        </w:rPr>
        <w:t>. Les relances budgétaires seront bénéfiques. La demande d’immobilier logistique, les taux d'occupation et les loyers vont connaitre des perturbations.</w:t>
      </w:r>
    </w:p>
    <w:p w14:paraId="6FF2C2B0" w14:textId="77777777" w:rsidR="00B5625C" w:rsidRPr="00FE1F7F" w:rsidRDefault="00B5625C" w:rsidP="00B5625C">
      <w:pPr>
        <w:spacing w:before="2"/>
        <w:rPr>
          <w:rFonts w:asciiTheme="minorBidi" w:hAnsiTheme="minorBidi" w:cstheme="minorBidi"/>
          <w:sz w:val="16"/>
          <w:szCs w:val="16"/>
        </w:rPr>
      </w:pPr>
    </w:p>
    <w:p w14:paraId="4F23C7DB" w14:textId="4FC0AEB4" w:rsidR="00B5625C" w:rsidRPr="00FE1F7F" w:rsidRDefault="00B5625C" w:rsidP="00E03C1A">
      <w:pPr>
        <w:spacing w:line="300" w:lineRule="auto"/>
        <w:ind w:right="298"/>
        <w:rPr>
          <w:rFonts w:asciiTheme="minorBidi" w:hAnsiTheme="minorBidi" w:cstheme="minorBidi"/>
          <w:sz w:val="16"/>
          <w:szCs w:val="16"/>
        </w:rPr>
      </w:pPr>
      <w:r w:rsidRPr="00FE1F7F">
        <w:rPr>
          <w:rFonts w:asciiTheme="minorBidi" w:hAnsiTheme="minorBidi" w:cstheme="minorBidi"/>
          <w:b/>
          <w:color w:val="4C4D4D"/>
          <w:sz w:val="16"/>
          <w:szCs w:val="16"/>
        </w:rPr>
        <w:t>La logistique</w:t>
      </w:r>
      <w:r w:rsidR="004611BB">
        <w:rPr>
          <w:rFonts w:asciiTheme="minorBidi" w:hAnsiTheme="minorBidi" w:cstheme="minorBidi"/>
          <w:b/>
          <w:color w:val="4C4D4D"/>
          <w:sz w:val="16"/>
          <w:szCs w:val="16"/>
        </w:rPr>
        <w:t xml:space="preserve">, </w:t>
      </w:r>
      <w:r w:rsidRPr="00FE1F7F">
        <w:rPr>
          <w:rFonts w:asciiTheme="minorBidi" w:hAnsiTheme="minorBidi" w:cstheme="minorBidi"/>
          <w:b/>
          <w:color w:val="4C4D4D"/>
          <w:sz w:val="16"/>
          <w:szCs w:val="16"/>
        </w:rPr>
        <w:t xml:space="preserve">bien positionnée pour le long terme. </w:t>
      </w:r>
      <w:r w:rsidRPr="00FE1F7F">
        <w:rPr>
          <w:rFonts w:asciiTheme="minorBidi" w:hAnsiTheme="minorBidi" w:cstheme="minorBidi"/>
          <w:color w:val="4C4D4D"/>
          <w:sz w:val="16"/>
          <w:szCs w:val="16"/>
        </w:rPr>
        <w:t xml:space="preserve">Au regard de tous les types de biens immobiliers, les performances vont dépendre de la façon dont les clients/utilisateurs vont s'adapter à ce nouvel environnement. Les utilisateurs de bureau par exemple, qui </w:t>
      </w:r>
      <w:r w:rsidR="00754779">
        <w:rPr>
          <w:rFonts w:asciiTheme="minorBidi" w:hAnsiTheme="minorBidi" w:cstheme="minorBidi"/>
          <w:color w:val="4C4D4D"/>
          <w:sz w:val="16"/>
          <w:szCs w:val="16"/>
        </w:rPr>
        <w:t>apprennent</w:t>
      </w:r>
      <w:r w:rsidRPr="00FE1F7F">
        <w:rPr>
          <w:rFonts w:asciiTheme="minorBidi" w:hAnsiTheme="minorBidi" w:cstheme="minorBidi"/>
          <w:color w:val="4C4D4D"/>
          <w:sz w:val="16"/>
          <w:szCs w:val="16"/>
        </w:rPr>
        <w:t xml:space="preserve"> à télétravailler </w:t>
      </w:r>
      <w:r w:rsidR="00754779">
        <w:rPr>
          <w:rFonts w:asciiTheme="minorBidi" w:hAnsiTheme="minorBidi" w:cstheme="minorBidi"/>
          <w:color w:val="4C4D4D"/>
          <w:sz w:val="16"/>
          <w:szCs w:val="16"/>
        </w:rPr>
        <w:t xml:space="preserve">face au </w:t>
      </w:r>
      <w:proofErr w:type="spellStart"/>
      <w:r w:rsidRPr="00FE1F7F">
        <w:rPr>
          <w:rFonts w:asciiTheme="minorBidi" w:hAnsiTheme="minorBidi" w:cstheme="minorBidi"/>
          <w:color w:val="4C4D4D"/>
          <w:sz w:val="16"/>
          <w:szCs w:val="16"/>
        </w:rPr>
        <w:t>co</w:t>
      </w:r>
      <w:r w:rsidR="004151EC">
        <w:rPr>
          <w:rFonts w:asciiTheme="minorBidi" w:hAnsiTheme="minorBidi" w:cstheme="minorBidi"/>
          <w:color w:val="4C4D4D"/>
          <w:sz w:val="16"/>
          <w:szCs w:val="16"/>
        </w:rPr>
        <w:t>-</w:t>
      </w:r>
      <w:r w:rsidRPr="00FE1F7F">
        <w:rPr>
          <w:rFonts w:asciiTheme="minorBidi" w:hAnsiTheme="minorBidi" w:cstheme="minorBidi"/>
          <w:color w:val="4C4D4D"/>
          <w:sz w:val="16"/>
          <w:szCs w:val="16"/>
        </w:rPr>
        <w:t>work</w:t>
      </w:r>
      <w:r w:rsidR="00754779">
        <w:rPr>
          <w:rFonts w:asciiTheme="minorBidi" w:hAnsiTheme="minorBidi" w:cstheme="minorBidi"/>
          <w:color w:val="4C4D4D"/>
          <w:sz w:val="16"/>
          <w:szCs w:val="16"/>
        </w:rPr>
        <w:t>ing</w:t>
      </w:r>
      <w:proofErr w:type="spellEnd"/>
      <w:r w:rsidRPr="00FE1F7F">
        <w:rPr>
          <w:rFonts w:asciiTheme="minorBidi" w:hAnsiTheme="minorBidi" w:cstheme="minorBidi"/>
          <w:color w:val="4C4D4D"/>
          <w:sz w:val="16"/>
          <w:szCs w:val="16"/>
        </w:rPr>
        <w:t xml:space="preserve">. </w:t>
      </w:r>
      <w:r w:rsidR="00642D17">
        <w:rPr>
          <w:rFonts w:asciiTheme="minorBidi" w:hAnsiTheme="minorBidi" w:cstheme="minorBidi"/>
          <w:color w:val="4C4D4D"/>
          <w:sz w:val="16"/>
          <w:szCs w:val="16"/>
        </w:rPr>
        <w:t>L</w:t>
      </w:r>
      <w:r w:rsidRPr="00FE1F7F">
        <w:rPr>
          <w:rFonts w:asciiTheme="minorBidi" w:hAnsiTheme="minorBidi" w:cstheme="minorBidi"/>
          <w:color w:val="4C4D4D"/>
          <w:sz w:val="16"/>
          <w:szCs w:val="16"/>
        </w:rPr>
        <w:t>'immobilier logistique</w:t>
      </w:r>
      <w:r w:rsidR="00642D17">
        <w:rPr>
          <w:rFonts w:asciiTheme="minorBidi" w:hAnsiTheme="minorBidi" w:cstheme="minorBidi"/>
          <w:color w:val="4C4D4D"/>
          <w:sz w:val="16"/>
          <w:szCs w:val="16"/>
        </w:rPr>
        <w:t xml:space="preserve"> connait un </w:t>
      </w:r>
      <w:r w:rsidRPr="00FE1F7F">
        <w:rPr>
          <w:rFonts w:asciiTheme="minorBidi" w:hAnsiTheme="minorBidi" w:cstheme="minorBidi"/>
          <w:color w:val="4C4D4D"/>
          <w:sz w:val="16"/>
          <w:szCs w:val="16"/>
        </w:rPr>
        <w:t>élan suscité par l</w:t>
      </w:r>
      <w:r w:rsidR="004151EC">
        <w:rPr>
          <w:rFonts w:asciiTheme="minorBidi" w:hAnsiTheme="minorBidi" w:cstheme="minorBidi"/>
          <w:color w:val="4C4D4D"/>
          <w:sz w:val="16"/>
          <w:szCs w:val="16"/>
        </w:rPr>
        <w:t>’apparition</w:t>
      </w:r>
      <w:r w:rsidRPr="00FE1F7F">
        <w:rPr>
          <w:rFonts w:asciiTheme="minorBidi" w:hAnsiTheme="minorBidi" w:cstheme="minorBidi"/>
          <w:color w:val="4C4D4D"/>
          <w:sz w:val="16"/>
          <w:szCs w:val="16"/>
        </w:rPr>
        <w:t xml:space="preserve"> de nouveaux facteurs structurels qui ont un rôle dans la stratégie à moyen et long terme, à savoir (i) des niveaux de stocks plus élevés pour la continuité de l'activité et (ii) une ré-accélération de la croissance du e-commerce pour un nouveau segment de consommateurs (les seniors) et une nouvelle catégorie de produits (l’alimentaire).</w:t>
      </w:r>
    </w:p>
    <w:p w14:paraId="2E561D47" w14:textId="77777777" w:rsidR="00B5625C" w:rsidRDefault="00B5625C" w:rsidP="00B5625C">
      <w:pPr>
        <w:rPr>
          <w:rFonts w:asciiTheme="minorBidi" w:hAnsiTheme="minorBidi" w:cstheme="minorBidi"/>
          <w:sz w:val="16"/>
          <w:szCs w:val="16"/>
        </w:rPr>
        <w:sectPr w:rsidR="00B5625C" w:rsidSect="002B470A">
          <w:headerReference w:type="default" r:id="rId17"/>
          <w:pgSz w:w="12240" w:h="15840"/>
          <w:pgMar w:top="567" w:right="400" w:bottom="568" w:left="600" w:header="0" w:footer="0" w:gutter="0"/>
          <w:cols w:num="2" w:space="720"/>
        </w:sectPr>
      </w:pPr>
    </w:p>
    <w:p w14:paraId="69E554AC" w14:textId="77777777" w:rsidR="00B84A53" w:rsidRDefault="00B84A53">
      <w:pPr>
        <w:spacing w:line="300" w:lineRule="auto"/>
        <w:sectPr w:rsidR="00B84A53" w:rsidSect="003E2951">
          <w:type w:val="continuous"/>
          <w:pgSz w:w="12240" w:h="15840"/>
          <w:pgMar w:top="720" w:right="400" w:bottom="426" w:left="600" w:header="720" w:footer="2898" w:gutter="0"/>
          <w:cols w:num="2" w:space="720" w:equalWidth="0">
            <w:col w:w="5334" w:space="286"/>
            <w:col w:w="5620"/>
          </w:cols>
        </w:sectPr>
      </w:pPr>
    </w:p>
    <w:p w14:paraId="161476D0" w14:textId="77777777" w:rsidR="00B84A53" w:rsidRDefault="007B626B">
      <w:pPr>
        <w:pStyle w:val="BodyText"/>
        <w:rPr>
          <w:sz w:val="30"/>
        </w:rPr>
      </w:pPr>
      <w:r>
        <w:lastRenderedPageBreak/>
        <w:pict w14:anchorId="2D583D5A">
          <v:shape id="_x0000_s1041" type="#_x0000_t202" style="position:absolute;margin-left:36pt;margin-top:750.25pt;width:540.15pt;height:7.25pt;z-index:-251928576;mso-position-horizontal-relative:page;mso-position-vertical-relative:page" filled="f" stroked="f">
            <v:textbox inset="0,0,0,0">
              <w:txbxContent>
                <w:p w14:paraId="0B2253E8" w14:textId="77777777" w:rsidR="00B84A53" w:rsidRDefault="00AA1828">
                  <w:pPr>
                    <w:tabs>
                      <w:tab w:val="right" w:pos="10802"/>
                    </w:tabs>
                    <w:spacing w:line="144" w:lineRule="exact"/>
                    <w:rPr>
                      <w:sz w:val="12"/>
                    </w:rPr>
                  </w:pPr>
                  <w:r>
                    <w:rPr>
                      <w:rFonts w:ascii="Calibri"/>
                      <w:color w:val="4C4D4D"/>
                      <w:sz w:val="12"/>
                    </w:rPr>
                    <w:t>Recherche Prologis | Dossier Sp</w:t>
                  </w:r>
                  <w:r>
                    <w:rPr>
                      <w:rFonts w:ascii="Calibri"/>
                      <w:color w:val="4C4D4D"/>
                      <w:sz w:val="12"/>
                    </w:rPr>
                    <w:t>é</w:t>
                  </w:r>
                  <w:r>
                    <w:rPr>
                      <w:rFonts w:ascii="Calibri"/>
                      <w:color w:val="4C4D4D"/>
                      <w:sz w:val="12"/>
                    </w:rPr>
                    <w:t>cial  | March 2020</w:t>
                  </w:r>
                  <w:r>
                    <w:rPr>
                      <w:rFonts w:ascii="Calibri"/>
                      <w:color w:val="4C4D4D"/>
                      <w:sz w:val="12"/>
                    </w:rPr>
                    <w:tab/>
                  </w:r>
                  <w:r>
                    <w:rPr>
                      <w:color w:val="4C4D4D"/>
                      <w:sz w:val="12"/>
                    </w:rPr>
                    <w:t>3</w:t>
                  </w:r>
                </w:p>
              </w:txbxContent>
            </v:textbox>
            <w10:wrap anchorx="page" anchory="page"/>
          </v:shape>
        </w:pict>
      </w:r>
      <w:r>
        <w:pict w14:anchorId="2D367B91">
          <v:group id="_x0000_s1027" style="position:absolute;margin-left:0;margin-top:634.65pt;width:612pt;height:157.35pt;z-index:251670528;mso-position-horizontal-relative:page;mso-position-vertical-relative:page" coordorigin=",12693" coordsize="12240,3147">
            <v:rect id="_x0000_s1040" style="position:absolute;top:12693;width:12240;height:3147" fillcolor="#1b4d49" stroked="f"/>
            <v:line id="_x0000_s1039" style="position:absolute" from="9907,15141" to="11510,15141" strokecolor="white" strokeweight=".14747mm"/>
            <v:shape id="_x0000_s1038" type="#_x0000_t75" style="position:absolute;left:9395;top:14711;width:407;height:393">
              <v:imagedata r:id="rId18" o:title=""/>
            </v:shape>
            <v:shape id="_x0000_s1037" type="#_x0000_t75" style="position:absolute;left:9906;top:14795;width:627;height:224">
              <v:imagedata r:id="rId19" o:title=""/>
            </v:shape>
            <v:shape id="_x0000_s1036" style="position:absolute;left:10714;top:14796;width:213;height:222" coordorigin="10714,14797" coordsize="213,222" o:spt="100" adj="0,,0" path="m10821,14797r-39,6l10748,14823r-25,34l10714,14908r8,45l10743,14988r33,22l10820,15018r46,-8l10885,14996r-64,l10786,14989r-24,-20l10749,14940r-4,-32l10749,14874r14,-28l10786,14826r35,-7l10886,14819r-24,-15l10821,14797xm10886,14819r-65,l10853,14826r24,17l10891,14871r5,35l10893,14938r-13,29l10857,14988r-36,8l10885,14996r14,-10l10920,14950r7,-45l10918,14859r-22,-34l10886,14819xe" stroked="f">
              <v:stroke joinstyle="round"/>
              <v:formulas/>
              <v:path arrowok="t" o:connecttype="segments"/>
            </v:shape>
            <v:line id="_x0000_s1035" style="position:absolute" from="11204,14802" to="11204,15013" strokecolor="white" strokeweight="1.42pt"/>
            <v:shape id="_x0000_s1034" style="position:absolute;left:11256;top:14797;width:174;height:222" coordorigin="11256,14797" coordsize="174,222" o:spt="100" adj="0,,0" path="m11287,14942r-31,4l11270,14987r26,22l11324,15017r22,2l11357,15018r15,-1l11387,15012r16,-8l11411,14997r-64,l11335,14996r-11,-2l11313,14990r-9,-7l11294,14972r-5,-12l11287,14950r,-8xm11343,14797r-13,1l11316,14800r-15,5l11286,14815r-6,6l11273,14830r-5,12l11267,14856r7,27l11293,14900r24,10l11342,14916r18,4l11375,14923r12,7l11396,14940r4,15l11396,14973r-11,13l11368,14994r-21,3l11411,14997r4,-4l11424,14981r5,-14l11430,14953r-1,-13l11424,14926r-11,-14l11394,14900r-9,-3l11377,14895r-17,-4l11323,14881r-13,-5l11300,14866r-4,-14l11299,14837r11,-10l11325,14821r18,-2l11406,14819r-7,-6l11384,14804r-15,-4l11355,14797r-12,xm11406,14819r-49,l11370,14821r11,8l11397,14841r1,16l11398,14864r29,-2l11424,14851r-4,-13l11412,14825r-6,-6xe" stroked="f">
              <v:stroke joinstyle="round"/>
              <v:formulas/>
              <v:path arrowok="t" o:connecttype="segments"/>
            </v:shape>
            <v:shape id="_x0000_s1033" type="#_x0000_t75" style="position:absolute;left:10957;top:14796;width:195;height:222">
              <v:imagedata r:id="rId20" o:title=""/>
            </v:shape>
            <v:line id="_x0000_s1032" style="position:absolute" from="10566,15001" to="10704,15001" strokecolor="white" strokeweight="1.3pt"/>
            <v:line id="_x0000_s1031" style="position:absolute" from="10580,14802" to="10580,14988" strokecolor="white" strokeweight=".49567mm"/>
            <v:shape id="_x0000_s1030" style="position:absolute;left:11440;top:14782;width:52;height:53" coordorigin="11441,14782" coordsize="52,53" o:spt="100" adj="0,,0" path="m11479,14823r-6,-11l11473,14811r1,-1l11478,14809r,-2l11478,14800r,-2l11477,14797r-4,-3l11473,14807r-7,l11462,14807r,-9l11468,14798r1,l11473,14800r,7l11473,14794r,l11466,14794r-9,l11457,14823r5,l11462,14812r5,l11473,14823r6,m11493,14823r,-29l11489,14790r,31l11479,14831r-24,-1l11445,14821r,-25l11455,14787r24,l11489,14796r,25l11489,14790r-4,-3l11481,14783r-28,-1l11441,14794r,29l11452,14835r29,l11485,14831r8,-8e" stroked="f">
              <v:stroke joinstyle="round"/>
              <v:formulas/>
              <v:path arrowok="t" o:connecttype="segments"/>
            </v:shape>
            <v:shape id="_x0000_s1029" type="#_x0000_t202" style="position:absolute;left:718;top:13488;width:2679;height:1624" filled="f" stroked="f">
              <v:textbox inset="0,0,0,0">
                <w:txbxContent>
                  <w:p w14:paraId="0771FF7E" w14:textId="77777777" w:rsidR="00B84A53" w:rsidRPr="00AC6BA8" w:rsidRDefault="00AA1828">
                    <w:pPr>
                      <w:spacing w:before="3" w:line="312" w:lineRule="auto"/>
                      <w:ind w:right="1756"/>
                      <w:rPr>
                        <w:sz w:val="16"/>
                        <w:lang w:val="en-US"/>
                      </w:rPr>
                    </w:pPr>
                    <w:r w:rsidRPr="00AC6BA8">
                      <w:rPr>
                        <w:color w:val="FFFFFF"/>
                        <w:sz w:val="16"/>
                        <w:lang w:val="en-US"/>
                      </w:rPr>
                      <w:t>Prologis  Pier 1, Bay 1</w:t>
                    </w:r>
                  </w:p>
                  <w:p w14:paraId="3B632D3C" w14:textId="77777777" w:rsidR="00B84A53" w:rsidRPr="00AC6BA8" w:rsidRDefault="00AA1828">
                    <w:pPr>
                      <w:spacing w:before="1" w:line="312" w:lineRule="auto"/>
                      <w:ind w:right="413"/>
                      <w:rPr>
                        <w:sz w:val="16"/>
                        <w:lang w:val="en-US"/>
                      </w:rPr>
                    </w:pPr>
                    <w:r w:rsidRPr="00AC6BA8">
                      <w:rPr>
                        <w:color w:val="FFFFFF"/>
                        <w:sz w:val="16"/>
                        <w:lang w:val="en-US"/>
                      </w:rPr>
                      <w:t>San Francisco, CA 94111 United States</w:t>
                    </w:r>
                  </w:p>
                  <w:p w14:paraId="66CB33EE" w14:textId="77777777" w:rsidR="00B84A53" w:rsidRPr="007B626B" w:rsidRDefault="00AA1828">
                    <w:pPr>
                      <w:spacing w:before="2"/>
                      <w:rPr>
                        <w:sz w:val="16"/>
                        <w:lang w:val="en-US"/>
                      </w:rPr>
                    </w:pPr>
                    <w:r w:rsidRPr="007B626B">
                      <w:rPr>
                        <w:color w:val="FFFFFF"/>
                        <w:sz w:val="16"/>
                        <w:lang w:val="en-US"/>
                      </w:rPr>
                      <w:t>+1 415 394 9000</w:t>
                    </w:r>
                  </w:p>
                  <w:p w14:paraId="1C942933" w14:textId="77777777" w:rsidR="00B84A53" w:rsidRPr="007B626B" w:rsidRDefault="007B626B">
                    <w:pPr>
                      <w:spacing w:before="56"/>
                      <w:rPr>
                        <w:sz w:val="16"/>
                        <w:lang w:val="en-US"/>
                      </w:rPr>
                    </w:pPr>
                    <w:r>
                      <w:fldChar w:fldCharType="begin"/>
                    </w:r>
                    <w:r w:rsidRPr="007B626B">
                      <w:rPr>
                        <w:lang w:val="en-US"/>
                      </w:rPr>
                      <w:instrText xml:space="preserve"> HYPERLINK "http://www.prologis.com/" \h </w:instrText>
                    </w:r>
                    <w:r>
                      <w:fldChar w:fldCharType="separate"/>
                    </w:r>
                    <w:r w:rsidR="00971DD9" w:rsidRPr="007B626B">
                      <w:rPr>
                        <w:color w:val="FFFFFF"/>
                        <w:sz w:val="16"/>
                        <w:lang w:val="en-US"/>
                      </w:rPr>
                      <w:t>www.prologis.com</w:t>
                    </w:r>
                    <w:r>
                      <w:rPr>
                        <w:color w:val="FFFFFF"/>
                        <w:sz w:val="16"/>
                      </w:rPr>
                      <w:fldChar w:fldCharType="end"/>
                    </w:r>
                  </w:p>
                  <w:p w14:paraId="7AFD470A" w14:textId="77777777" w:rsidR="00B84A53" w:rsidRPr="007B626B" w:rsidRDefault="00AA1828">
                    <w:pPr>
                      <w:spacing w:before="94"/>
                      <w:rPr>
                        <w:sz w:val="12"/>
                        <w:lang w:val="en-US"/>
                      </w:rPr>
                    </w:pPr>
                    <w:r w:rsidRPr="007B626B">
                      <w:rPr>
                        <w:color w:val="FFFFFF"/>
                        <w:sz w:val="12"/>
                        <w:lang w:val="en-US"/>
                      </w:rPr>
                      <w:t>Copyright ©2020 Prologis, Inc. All rights reserved.</w:t>
                    </w:r>
                  </w:p>
                </w:txbxContent>
              </v:textbox>
            </v:shape>
            <v:shape id="_x0000_s1028" type="#_x0000_t202" style="position:absolute;left:9892;top:15209;width:768;height:219" filled="f" stroked="f">
              <v:textbox inset="0,0,0,0">
                <w:txbxContent>
                  <w:p w14:paraId="1E4D9D03" w14:textId="77777777" w:rsidR="00B84A53" w:rsidRDefault="00AA1828">
                    <w:pPr>
                      <w:spacing w:before="2"/>
                      <w:rPr>
                        <w:rFonts w:ascii="Cambria"/>
                        <w:sz w:val="18"/>
                      </w:rPr>
                    </w:pPr>
                    <w:proofErr w:type="spellStart"/>
                    <w:r>
                      <w:rPr>
                        <w:rFonts w:ascii="Cambria"/>
                        <w:color w:val="FFFFFF"/>
                        <w:sz w:val="18"/>
                      </w:rPr>
                      <w:t>Research</w:t>
                    </w:r>
                    <w:proofErr w:type="spellEnd"/>
                  </w:p>
                </w:txbxContent>
              </v:textbox>
            </v:shape>
            <w10:wrap anchorx="page" anchory="page"/>
          </v:group>
        </w:pict>
      </w:r>
    </w:p>
    <w:p w14:paraId="2A1ED59E" w14:textId="77777777" w:rsidR="00B84A53" w:rsidRDefault="00B84A53">
      <w:pPr>
        <w:pStyle w:val="BodyText"/>
        <w:rPr>
          <w:sz w:val="30"/>
        </w:rPr>
      </w:pPr>
    </w:p>
    <w:p w14:paraId="7BF5CFE2" w14:textId="77777777" w:rsidR="00B84A53" w:rsidRDefault="00B84A53">
      <w:pPr>
        <w:pStyle w:val="BodyText"/>
        <w:rPr>
          <w:sz w:val="30"/>
        </w:rPr>
      </w:pPr>
    </w:p>
    <w:p w14:paraId="203507DD" w14:textId="77777777" w:rsidR="00B84A53" w:rsidRDefault="00B84A53">
      <w:pPr>
        <w:pStyle w:val="BodyText"/>
        <w:rPr>
          <w:sz w:val="30"/>
        </w:rPr>
      </w:pPr>
    </w:p>
    <w:p w14:paraId="2D7B7F61" w14:textId="77777777" w:rsidR="00B84A53" w:rsidRDefault="00B84A53">
      <w:pPr>
        <w:pStyle w:val="BodyText"/>
        <w:rPr>
          <w:sz w:val="30"/>
        </w:rPr>
      </w:pPr>
    </w:p>
    <w:p w14:paraId="75D27AC3" w14:textId="77777777" w:rsidR="00B84A53" w:rsidRDefault="00B84A53">
      <w:pPr>
        <w:pStyle w:val="BodyText"/>
        <w:rPr>
          <w:sz w:val="30"/>
        </w:rPr>
      </w:pPr>
    </w:p>
    <w:p w14:paraId="26BC7278" w14:textId="77777777" w:rsidR="00B84A53" w:rsidRDefault="00B84A53">
      <w:pPr>
        <w:pStyle w:val="BodyText"/>
        <w:rPr>
          <w:sz w:val="30"/>
        </w:rPr>
      </w:pPr>
    </w:p>
    <w:p w14:paraId="2680212A" w14:textId="77777777" w:rsidR="00B84A53" w:rsidRDefault="00B84A53">
      <w:pPr>
        <w:pStyle w:val="BodyText"/>
        <w:rPr>
          <w:sz w:val="30"/>
        </w:rPr>
      </w:pPr>
    </w:p>
    <w:p w14:paraId="1C850B3F" w14:textId="77777777" w:rsidR="00B84A53" w:rsidRDefault="00B84A53">
      <w:pPr>
        <w:pStyle w:val="BodyText"/>
        <w:rPr>
          <w:sz w:val="30"/>
        </w:rPr>
      </w:pPr>
    </w:p>
    <w:p w14:paraId="370D3233" w14:textId="77777777" w:rsidR="00B84A53" w:rsidRDefault="00B84A53">
      <w:pPr>
        <w:pStyle w:val="BodyText"/>
        <w:rPr>
          <w:sz w:val="30"/>
        </w:rPr>
      </w:pPr>
    </w:p>
    <w:p w14:paraId="104B9EDB" w14:textId="77777777" w:rsidR="00B84A53" w:rsidRDefault="00B84A53">
      <w:pPr>
        <w:pStyle w:val="BodyText"/>
        <w:rPr>
          <w:sz w:val="30"/>
        </w:rPr>
      </w:pPr>
    </w:p>
    <w:p w14:paraId="4DCF2BAF" w14:textId="77777777" w:rsidR="00B84A53" w:rsidRDefault="007B626B">
      <w:pPr>
        <w:pStyle w:val="Heading1"/>
      </w:pPr>
      <w:r>
        <w:pict w14:anchorId="1E2F234C">
          <v:line id="_x0000_s1026" style="position:absolute;left:0;text-align:left;z-index:251671552;mso-position-horizontal-relative:page" from="36pt,-32.75pt" to="8in,-32.75pt" strokecolor="#86898a" strokeweight=".25pt">
            <w10:wrap anchorx="page"/>
          </v:line>
        </w:pict>
      </w:r>
      <w:r w:rsidR="00971DD9">
        <w:rPr>
          <w:color w:val="00A766"/>
        </w:rPr>
        <w:t>Déclarations prospectives</w:t>
      </w:r>
    </w:p>
    <w:p w14:paraId="1FCBBD94" w14:textId="77777777" w:rsidR="00B84A53" w:rsidRDefault="00AA1828">
      <w:pPr>
        <w:pStyle w:val="BodyText"/>
        <w:spacing w:before="265" w:line="300" w:lineRule="auto"/>
        <w:ind w:left="120"/>
      </w:pPr>
      <w:r>
        <w:rPr>
          <w:color w:val="4C4D4D"/>
        </w:rPr>
        <w:t>Le présent communiqué ne doit pas être lu comme une proposition commerciale ou une sollicitation en vue de l'acquisition de valeurs mobilières. Ce communiqué ne requiert aucune action. Il est destiné à informer les clients de Prologis.</w:t>
      </w:r>
    </w:p>
    <w:p w14:paraId="6634AAE8" w14:textId="77777777" w:rsidR="00B84A53" w:rsidRDefault="00B84A53">
      <w:pPr>
        <w:pStyle w:val="BodyText"/>
        <w:spacing w:before="7"/>
        <w:rPr>
          <w:sz w:val="15"/>
        </w:rPr>
      </w:pPr>
    </w:p>
    <w:p w14:paraId="0D8D85D0" w14:textId="77777777" w:rsidR="00B84A53" w:rsidRDefault="00AA1828">
      <w:pPr>
        <w:pStyle w:val="BodyText"/>
        <w:spacing w:line="300" w:lineRule="auto"/>
        <w:ind w:left="120" w:right="92"/>
      </w:pPr>
      <w:r>
        <w:rPr>
          <w:color w:val="4C4D4D"/>
        </w:rPr>
        <w:t>Ce rapport est fondé, en partie, sur des informations publiques que nous jugeons fiables, mais que nous ne qualifions pas d’exacte ou d’exhaustive, et elles ne doivent pas être prises comme tel. L'exactitude ou l'exhaustivité de ces informations ne sont pas déclarées. Les opinions exprimées sont nos opinions à la date apparaissant sur ce rapport uniquement. Prologis décline toute responsabilité relative à ce rapport, y compris, sans limitation, toute déclaration ou garantie exprimée ou induite, toute erreur ou omission contenue ou non dans ce rapport.</w:t>
      </w:r>
    </w:p>
    <w:p w14:paraId="5846F737" w14:textId="77777777" w:rsidR="00B84A53" w:rsidRDefault="00B84A53">
      <w:pPr>
        <w:pStyle w:val="BodyText"/>
        <w:spacing w:before="7"/>
        <w:rPr>
          <w:sz w:val="15"/>
        </w:rPr>
      </w:pPr>
    </w:p>
    <w:p w14:paraId="3586EA33" w14:textId="11123658" w:rsidR="00B84A53" w:rsidRDefault="00AA1828">
      <w:pPr>
        <w:pStyle w:val="BodyText"/>
        <w:spacing w:line="300" w:lineRule="auto"/>
        <w:ind w:left="120" w:right="92"/>
      </w:pPr>
      <w:r>
        <w:rPr>
          <w:color w:val="4C4D4D"/>
        </w:rPr>
        <w:t>Toute estimation, projection ou prévision du présent rapport doivent être considérées comme des déclarations prospectives. Les attentes exprimées à travers ces déclarations prospectives nous semblent raisonnables. Nous ne pouvons toutefois pas garantir que ces déclarations prospectives se révèleront exactes.</w:t>
      </w:r>
    </w:p>
    <w:p w14:paraId="13D36B9D" w14:textId="380E825E" w:rsidR="00B84A53" w:rsidRDefault="00AA1828">
      <w:pPr>
        <w:pStyle w:val="BodyText"/>
        <w:spacing w:line="300" w:lineRule="auto"/>
        <w:ind w:left="120"/>
      </w:pPr>
      <w:r>
        <w:rPr>
          <w:color w:val="4C4D4D"/>
        </w:rPr>
        <w:t>Ces estimations sont sujettes à des risques connus et inconnus, à des incertitudes et à d’autres facteurs qui pourraient faire en sorte que les résultats réels diffèrent sensiblement des résultats prévus. Ces déclarations prospectives ne sont valables qu'à la date du présent communiqué. Nous déclinons expressément toute obligation ou engagement de mettre à jour ou de réviser toute déclaration prospective contenue dans le présent document afin de refléter tout changement dans nos prévisions ou tout changement de circonstances sur lesquelles cette déclaration serait fondée.</w:t>
      </w:r>
    </w:p>
    <w:p w14:paraId="30D42BA5" w14:textId="77777777" w:rsidR="00B84A53" w:rsidRDefault="00B84A53">
      <w:pPr>
        <w:pStyle w:val="BodyText"/>
        <w:spacing w:before="8"/>
        <w:rPr>
          <w:sz w:val="15"/>
        </w:rPr>
      </w:pPr>
    </w:p>
    <w:p w14:paraId="569B28F7" w14:textId="77777777" w:rsidR="00B84A53" w:rsidRDefault="00AA1828">
      <w:pPr>
        <w:pStyle w:val="BodyText"/>
        <w:spacing w:line="300" w:lineRule="auto"/>
        <w:ind w:left="120" w:right="245"/>
      </w:pPr>
      <w:r>
        <w:rPr>
          <w:color w:val="4C4D4D"/>
        </w:rPr>
        <w:t>Aucune partie de ce communiqué ne peut être (i) copié, photocopié ou reproduit sous aucune forme, par quelque moyen que ce soit (ii) distribué sans le consentement préalable écrit de Prologis.</w:t>
      </w:r>
    </w:p>
    <w:p w14:paraId="197F6546" w14:textId="77777777" w:rsidR="00B84A53" w:rsidRDefault="00AA1828">
      <w:pPr>
        <w:pStyle w:val="BodyText"/>
        <w:rPr>
          <w:sz w:val="30"/>
        </w:rPr>
      </w:pPr>
      <w:r>
        <w:br w:type="column"/>
      </w:r>
    </w:p>
    <w:p w14:paraId="475CE43A" w14:textId="77777777" w:rsidR="00B84A53" w:rsidRDefault="00B84A53">
      <w:pPr>
        <w:pStyle w:val="BodyText"/>
        <w:rPr>
          <w:sz w:val="30"/>
        </w:rPr>
      </w:pPr>
    </w:p>
    <w:p w14:paraId="51AC6EF1" w14:textId="77777777" w:rsidR="00B84A53" w:rsidRDefault="00B84A53">
      <w:pPr>
        <w:pStyle w:val="BodyText"/>
        <w:rPr>
          <w:sz w:val="30"/>
        </w:rPr>
      </w:pPr>
    </w:p>
    <w:p w14:paraId="5F2906A4" w14:textId="77777777" w:rsidR="00B84A53" w:rsidRDefault="00B84A53">
      <w:pPr>
        <w:pStyle w:val="BodyText"/>
        <w:rPr>
          <w:sz w:val="30"/>
        </w:rPr>
      </w:pPr>
    </w:p>
    <w:p w14:paraId="43F09B6B" w14:textId="77777777" w:rsidR="00B84A53" w:rsidRDefault="00B84A53">
      <w:pPr>
        <w:pStyle w:val="BodyText"/>
        <w:rPr>
          <w:sz w:val="30"/>
        </w:rPr>
      </w:pPr>
    </w:p>
    <w:p w14:paraId="0087298C" w14:textId="77777777" w:rsidR="00B84A53" w:rsidRDefault="00B84A53">
      <w:pPr>
        <w:pStyle w:val="BodyText"/>
        <w:rPr>
          <w:sz w:val="30"/>
        </w:rPr>
      </w:pPr>
    </w:p>
    <w:p w14:paraId="5C5192E2" w14:textId="77777777" w:rsidR="00B84A53" w:rsidRDefault="00B84A53">
      <w:pPr>
        <w:pStyle w:val="BodyText"/>
        <w:rPr>
          <w:sz w:val="30"/>
        </w:rPr>
      </w:pPr>
    </w:p>
    <w:p w14:paraId="407CDCB1" w14:textId="77777777" w:rsidR="00B84A53" w:rsidRDefault="00B84A53">
      <w:pPr>
        <w:pStyle w:val="BodyText"/>
        <w:rPr>
          <w:sz w:val="30"/>
        </w:rPr>
      </w:pPr>
    </w:p>
    <w:p w14:paraId="112B4985" w14:textId="77777777" w:rsidR="00B84A53" w:rsidRDefault="00B84A53">
      <w:pPr>
        <w:pStyle w:val="BodyText"/>
        <w:rPr>
          <w:sz w:val="30"/>
        </w:rPr>
      </w:pPr>
    </w:p>
    <w:p w14:paraId="44B03747" w14:textId="77777777" w:rsidR="00B84A53" w:rsidRDefault="00B84A53">
      <w:pPr>
        <w:pStyle w:val="BodyText"/>
        <w:rPr>
          <w:sz w:val="30"/>
        </w:rPr>
      </w:pPr>
    </w:p>
    <w:p w14:paraId="37456EF8" w14:textId="77777777" w:rsidR="00B84A53" w:rsidRDefault="00B84A53">
      <w:pPr>
        <w:pStyle w:val="BodyText"/>
        <w:rPr>
          <w:sz w:val="30"/>
        </w:rPr>
      </w:pPr>
    </w:p>
    <w:p w14:paraId="0CD8BC9C" w14:textId="77777777" w:rsidR="00B84A53" w:rsidRDefault="00AA1828">
      <w:pPr>
        <w:pStyle w:val="Heading1"/>
      </w:pPr>
      <w:r>
        <w:rPr>
          <w:color w:val="00A766"/>
        </w:rPr>
        <w:t>La recherche Prologis</w:t>
      </w:r>
    </w:p>
    <w:p w14:paraId="71C8725A" w14:textId="77777777" w:rsidR="00B84A53" w:rsidRDefault="00AA1828">
      <w:pPr>
        <w:pStyle w:val="BodyText"/>
        <w:spacing w:before="265" w:line="300" w:lineRule="auto"/>
        <w:ind w:left="120" w:right="536"/>
      </w:pPr>
      <w:r>
        <w:rPr>
          <w:color w:val="4C4D4D"/>
        </w:rPr>
        <w:t>Le département de recherche de Prologis étudie les tendances fondamentales et d’investissement ainsi que les besoins des clients Prologis afin d’identifier les opportunités et d'éviter les risques sur les quatre continents. Outre la publication de livres blancs et autres rapports de recherche, il participe aux décisions d'investissement et aux initiatives stratégiques à long terme.</w:t>
      </w:r>
    </w:p>
    <w:p w14:paraId="42549C37" w14:textId="03E9B697" w:rsidR="00B84A53" w:rsidRDefault="00AA1828" w:rsidP="006101B2">
      <w:pPr>
        <w:pStyle w:val="BodyText"/>
        <w:spacing w:line="300" w:lineRule="auto"/>
        <w:ind w:left="120" w:right="536"/>
      </w:pPr>
      <w:r>
        <w:rPr>
          <w:color w:val="4C4D4D"/>
        </w:rPr>
        <w:t xml:space="preserve">Prologis publie des études sur les dynamiques de marché qui impactent ses clients, y compris les enjeux et changements au niveau mondial de la </w:t>
      </w:r>
      <w:proofErr w:type="spellStart"/>
      <w:r>
        <w:rPr>
          <w:color w:val="4C4D4D"/>
        </w:rPr>
        <w:t>supply</w:t>
      </w:r>
      <w:proofErr w:type="spellEnd"/>
      <w:r>
        <w:rPr>
          <w:color w:val="4C4D4D"/>
        </w:rPr>
        <w:t xml:space="preserve"> </w:t>
      </w:r>
      <w:proofErr w:type="spellStart"/>
      <w:r>
        <w:rPr>
          <w:color w:val="4C4D4D"/>
        </w:rPr>
        <w:t>chain</w:t>
      </w:r>
      <w:proofErr w:type="spellEnd"/>
      <w:r>
        <w:rPr>
          <w:color w:val="4C4D4D"/>
        </w:rPr>
        <w:t>, pour logistique et l’immobilier. L’équipe de recherche Prologis travaille en collaboration avec tous les autres services de l'entreprise pour contribuer à conquérir de nouveaux marchés, à favoriser son expansion, ses acquisitions et ses stratégies de développement.</w:t>
      </w:r>
    </w:p>
    <w:p w14:paraId="42F9CD7C" w14:textId="77777777" w:rsidR="00B84A53" w:rsidRDefault="00B84A53">
      <w:pPr>
        <w:pStyle w:val="BodyText"/>
        <w:rPr>
          <w:sz w:val="18"/>
        </w:rPr>
      </w:pPr>
    </w:p>
    <w:p w14:paraId="044CF048" w14:textId="77777777" w:rsidR="00B84A53" w:rsidRDefault="00AA1828">
      <w:pPr>
        <w:pStyle w:val="Heading1"/>
        <w:spacing w:before="161"/>
      </w:pPr>
      <w:r>
        <w:rPr>
          <w:color w:val="00A766"/>
        </w:rPr>
        <w:t>À propos de Prologis</w:t>
      </w:r>
    </w:p>
    <w:p w14:paraId="16AAB2A8" w14:textId="77777777" w:rsidR="00B84A53" w:rsidRDefault="00AA1828">
      <w:pPr>
        <w:pStyle w:val="BodyText"/>
        <w:spacing w:before="265" w:line="300" w:lineRule="auto"/>
        <w:ind w:left="120" w:right="536"/>
      </w:pPr>
      <w:r>
        <w:rPr>
          <w:color w:val="4C4D4D"/>
        </w:rPr>
        <w:t>Prologis Inc. est leader mondial de l'immobilier logistique agissant sur des marchés très fermés, à forte croissance. Au 31 décembre 2019, Prologis possède ou détient des parts, dans des propriétés immobilières achevées ou en développement, pleinement ou conjointement, qui s'élèvent à environ 89 millions de mètres carrés dans 19 pays.</w:t>
      </w:r>
    </w:p>
    <w:p w14:paraId="2D9488DC" w14:textId="77777777" w:rsidR="00B84A53" w:rsidRDefault="00B84A53">
      <w:pPr>
        <w:pStyle w:val="BodyText"/>
        <w:spacing w:line="300" w:lineRule="auto"/>
        <w:ind w:left="120"/>
      </w:pPr>
    </w:p>
    <w:p w14:paraId="30A82D5A" w14:textId="77777777" w:rsidR="00B84A53" w:rsidRDefault="00AA1828">
      <w:pPr>
        <w:pStyle w:val="BodyText"/>
        <w:spacing w:line="300" w:lineRule="auto"/>
        <w:ind w:left="120" w:right="1168"/>
        <w:jc w:val="both"/>
      </w:pPr>
      <w:r>
        <w:rPr>
          <w:color w:val="4C4D4D"/>
        </w:rPr>
        <w:t>Prologis loue des entrepôts logistiques modernes à environ 5 500 clients variés répartis dans deux grandes catégories : le B2B et la vente au détail/en ligne.</w:t>
      </w:r>
    </w:p>
    <w:sectPr w:rsidR="00B84A53">
      <w:pgSz w:w="12240" w:h="15840"/>
      <w:pgMar w:top="720" w:right="400" w:bottom="0" w:left="600" w:header="0" w:footer="0" w:gutter="0"/>
      <w:cols w:num="2" w:space="720" w:equalWidth="0">
        <w:col w:w="5317" w:space="310"/>
        <w:col w:w="56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06EFE" w14:textId="77777777" w:rsidR="003703ED" w:rsidRDefault="003703ED">
      <w:r>
        <w:separator/>
      </w:r>
    </w:p>
  </w:endnote>
  <w:endnote w:type="continuationSeparator" w:id="0">
    <w:p w14:paraId="65EFAA47" w14:textId="77777777" w:rsidR="003703ED" w:rsidRDefault="0037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B3C41" w14:textId="4D43B747" w:rsidR="002B470A" w:rsidRDefault="002B470A" w:rsidP="003E2951">
    <w:pPr>
      <w:pStyle w:val="Footer"/>
    </w:pPr>
    <w:r>
      <w:rPr>
        <w:rFonts w:ascii="Calibri"/>
        <w:color w:val="4C4D4D"/>
        <w:sz w:val="12"/>
      </w:rPr>
      <w:t>Recherche Prologis | Dossier Sp</w:t>
    </w:r>
    <w:r>
      <w:rPr>
        <w:rFonts w:ascii="Calibri"/>
        <w:color w:val="4C4D4D"/>
        <w:sz w:val="12"/>
      </w:rPr>
      <w:t>é</w:t>
    </w:r>
    <w:r>
      <w:rPr>
        <w:rFonts w:ascii="Calibri"/>
        <w:color w:val="4C4D4D"/>
        <w:sz w:val="12"/>
      </w:rPr>
      <w:t>cial | 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B00DD" w14:textId="77777777" w:rsidR="003703ED" w:rsidRDefault="003703ED">
      <w:r>
        <w:separator/>
      </w:r>
    </w:p>
  </w:footnote>
  <w:footnote w:type="continuationSeparator" w:id="0">
    <w:p w14:paraId="03F3243B" w14:textId="77777777" w:rsidR="003703ED" w:rsidRDefault="00370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337B4" w14:textId="77777777" w:rsidR="00B84A53" w:rsidRDefault="007B626B">
    <w:pPr>
      <w:pStyle w:val="BodyText"/>
      <w:spacing w:line="14" w:lineRule="auto"/>
      <w:rPr>
        <w:sz w:val="13"/>
      </w:rPr>
    </w:pPr>
    <w:r>
      <w:pict w14:anchorId="6A8AFA41">
        <v:group id="_x0000_s2049" style="position:absolute;margin-left:0;margin-top:0;width:612pt;height:6.45pt;z-index:-251658240;mso-position-horizontal-relative:page;mso-position-vertical-relative:page" coordsize="12240,129">
          <v:line id="_x0000_s2053" style="position:absolute" from="0,64" to="3497,64" strokecolor="#00524e" strokeweight="2.268mm"/>
          <v:line id="_x0000_s2052" style="position:absolute" from="6994,64" to="10491,64" strokecolor="#93c94f" strokeweight="2.268mm"/>
          <v:line id="_x0000_s2051" style="position:absolute" from="3497,64" to="6994,64" strokecolor="#00a766" strokeweight="2.268mm"/>
          <v:line id="_x0000_s2050" style="position:absolute" from="10491,64" to="12240,64" strokecolor="#cbdb2e" strokeweight="2.268mm"/>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936F3"/>
    <w:multiLevelType w:val="hybridMultilevel"/>
    <w:tmpl w:val="A1B419B4"/>
    <w:lvl w:ilvl="0" w:tplc="5A1AEF28">
      <w:start w:val="1"/>
      <w:numFmt w:val="decimal"/>
      <w:lvlText w:val="%1."/>
      <w:lvlJc w:val="left"/>
      <w:pPr>
        <w:ind w:left="390" w:hanging="270"/>
      </w:pPr>
      <w:rPr>
        <w:rFonts w:ascii="Lucida Sans" w:eastAsia="Lucida Sans" w:hAnsi="Lucida Sans" w:cs="Lucida Sans" w:hint="default"/>
        <w:color w:val="00A766"/>
        <w:spacing w:val="-2"/>
        <w:w w:val="94"/>
        <w:sz w:val="16"/>
        <w:szCs w:val="16"/>
        <w:lang w:val="en-US" w:eastAsia="en-US" w:bidi="en-US"/>
      </w:rPr>
    </w:lvl>
    <w:lvl w:ilvl="1" w:tplc="7166C5D2">
      <w:numFmt w:val="bullet"/>
      <w:lvlText w:val="•"/>
      <w:lvlJc w:val="left"/>
      <w:pPr>
        <w:ind w:left="888" w:hanging="270"/>
      </w:pPr>
      <w:rPr>
        <w:rFonts w:hint="default"/>
        <w:lang w:val="en-US" w:eastAsia="en-US" w:bidi="en-US"/>
      </w:rPr>
    </w:lvl>
    <w:lvl w:ilvl="2" w:tplc="98D6F528">
      <w:numFmt w:val="bullet"/>
      <w:lvlText w:val="•"/>
      <w:lvlJc w:val="left"/>
      <w:pPr>
        <w:ind w:left="1376" w:hanging="270"/>
      </w:pPr>
      <w:rPr>
        <w:rFonts w:hint="default"/>
        <w:lang w:val="en-US" w:eastAsia="en-US" w:bidi="en-US"/>
      </w:rPr>
    </w:lvl>
    <w:lvl w:ilvl="3" w:tplc="90081B7A">
      <w:numFmt w:val="bullet"/>
      <w:lvlText w:val="•"/>
      <w:lvlJc w:val="left"/>
      <w:pPr>
        <w:ind w:left="1865" w:hanging="270"/>
      </w:pPr>
      <w:rPr>
        <w:rFonts w:hint="default"/>
        <w:lang w:val="en-US" w:eastAsia="en-US" w:bidi="en-US"/>
      </w:rPr>
    </w:lvl>
    <w:lvl w:ilvl="4" w:tplc="8954D08A">
      <w:numFmt w:val="bullet"/>
      <w:lvlText w:val="•"/>
      <w:lvlJc w:val="left"/>
      <w:pPr>
        <w:ind w:left="2353" w:hanging="270"/>
      </w:pPr>
      <w:rPr>
        <w:rFonts w:hint="default"/>
        <w:lang w:val="en-US" w:eastAsia="en-US" w:bidi="en-US"/>
      </w:rPr>
    </w:lvl>
    <w:lvl w:ilvl="5" w:tplc="B886A226">
      <w:numFmt w:val="bullet"/>
      <w:lvlText w:val="•"/>
      <w:lvlJc w:val="left"/>
      <w:pPr>
        <w:ind w:left="2842" w:hanging="270"/>
      </w:pPr>
      <w:rPr>
        <w:rFonts w:hint="default"/>
        <w:lang w:val="en-US" w:eastAsia="en-US" w:bidi="en-US"/>
      </w:rPr>
    </w:lvl>
    <w:lvl w:ilvl="6" w:tplc="1DC8C2D6">
      <w:numFmt w:val="bullet"/>
      <w:lvlText w:val="•"/>
      <w:lvlJc w:val="left"/>
      <w:pPr>
        <w:ind w:left="3330" w:hanging="270"/>
      </w:pPr>
      <w:rPr>
        <w:rFonts w:hint="default"/>
        <w:lang w:val="en-US" w:eastAsia="en-US" w:bidi="en-US"/>
      </w:rPr>
    </w:lvl>
    <w:lvl w:ilvl="7" w:tplc="FDF64CF2">
      <w:numFmt w:val="bullet"/>
      <w:lvlText w:val="•"/>
      <w:lvlJc w:val="left"/>
      <w:pPr>
        <w:ind w:left="3819" w:hanging="270"/>
      </w:pPr>
      <w:rPr>
        <w:rFonts w:hint="default"/>
        <w:lang w:val="en-US" w:eastAsia="en-US" w:bidi="en-US"/>
      </w:rPr>
    </w:lvl>
    <w:lvl w:ilvl="8" w:tplc="6DBC548C">
      <w:numFmt w:val="bullet"/>
      <w:lvlText w:val="•"/>
      <w:lvlJc w:val="left"/>
      <w:pPr>
        <w:ind w:left="4307" w:hanging="270"/>
      </w:pPr>
      <w:rPr>
        <w:rFonts w:hint="default"/>
        <w:lang w:val="en-US" w:eastAsia="en-US" w:bidi="en-US"/>
      </w:rPr>
    </w:lvl>
  </w:abstractNum>
  <w:abstractNum w:abstractNumId="1" w15:restartNumberingAfterBreak="0">
    <w:nsid w:val="51531CC6"/>
    <w:multiLevelType w:val="hybridMultilevel"/>
    <w:tmpl w:val="0BC84078"/>
    <w:lvl w:ilvl="0" w:tplc="99DC0BF2">
      <w:start w:val="1"/>
      <w:numFmt w:val="decimal"/>
      <w:lvlText w:val="%1."/>
      <w:lvlJc w:val="left"/>
      <w:pPr>
        <w:ind w:left="399" w:hanging="270"/>
      </w:pPr>
      <w:rPr>
        <w:rFonts w:ascii="Lucida Sans" w:eastAsia="Lucida Sans" w:hAnsi="Lucida Sans" w:cs="Lucida Sans" w:hint="default"/>
        <w:color w:val="00A766"/>
        <w:spacing w:val="-4"/>
        <w:w w:val="94"/>
        <w:sz w:val="16"/>
        <w:szCs w:val="16"/>
        <w:lang w:val="en-US" w:eastAsia="en-US" w:bidi="en-US"/>
      </w:rPr>
    </w:lvl>
    <w:lvl w:ilvl="1" w:tplc="8C9CE470">
      <w:numFmt w:val="bullet"/>
      <w:lvlText w:val="•"/>
      <w:lvlJc w:val="left"/>
      <w:pPr>
        <w:ind w:left="922" w:hanging="270"/>
      </w:pPr>
      <w:rPr>
        <w:rFonts w:hint="default"/>
        <w:lang w:val="en-US" w:eastAsia="en-US" w:bidi="en-US"/>
      </w:rPr>
    </w:lvl>
    <w:lvl w:ilvl="2" w:tplc="5030B3D6">
      <w:numFmt w:val="bullet"/>
      <w:lvlText w:val="•"/>
      <w:lvlJc w:val="left"/>
      <w:pPr>
        <w:ind w:left="1444" w:hanging="270"/>
      </w:pPr>
      <w:rPr>
        <w:rFonts w:hint="default"/>
        <w:lang w:val="en-US" w:eastAsia="en-US" w:bidi="en-US"/>
      </w:rPr>
    </w:lvl>
    <w:lvl w:ilvl="3" w:tplc="BCA20EDC">
      <w:numFmt w:val="bullet"/>
      <w:lvlText w:val="•"/>
      <w:lvlJc w:val="left"/>
      <w:pPr>
        <w:ind w:left="1966" w:hanging="270"/>
      </w:pPr>
      <w:rPr>
        <w:rFonts w:hint="default"/>
        <w:lang w:val="en-US" w:eastAsia="en-US" w:bidi="en-US"/>
      </w:rPr>
    </w:lvl>
    <w:lvl w:ilvl="4" w:tplc="5770D104">
      <w:numFmt w:val="bullet"/>
      <w:lvlText w:val="•"/>
      <w:lvlJc w:val="left"/>
      <w:pPr>
        <w:ind w:left="2488" w:hanging="270"/>
      </w:pPr>
      <w:rPr>
        <w:rFonts w:hint="default"/>
        <w:lang w:val="en-US" w:eastAsia="en-US" w:bidi="en-US"/>
      </w:rPr>
    </w:lvl>
    <w:lvl w:ilvl="5" w:tplc="3AE8692C">
      <w:numFmt w:val="bullet"/>
      <w:lvlText w:val="•"/>
      <w:lvlJc w:val="left"/>
      <w:pPr>
        <w:ind w:left="3010" w:hanging="270"/>
      </w:pPr>
      <w:rPr>
        <w:rFonts w:hint="default"/>
        <w:lang w:val="en-US" w:eastAsia="en-US" w:bidi="en-US"/>
      </w:rPr>
    </w:lvl>
    <w:lvl w:ilvl="6" w:tplc="49A26358">
      <w:numFmt w:val="bullet"/>
      <w:lvlText w:val="•"/>
      <w:lvlJc w:val="left"/>
      <w:pPr>
        <w:ind w:left="3532" w:hanging="270"/>
      </w:pPr>
      <w:rPr>
        <w:rFonts w:hint="default"/>
        <w:lang w:val="en-US" w:eastAsia="en-US" w:bidi="en-US"/>
      </w:rPr>
    </w:lvl>
    <w:lvl w:ilvl="7" w:tplc="945E6580">
      <w:numFmt w:val="bullet"/>
      <w:lvlText w:val="•"/>
      <w:lvlJc w:val="left"/>
      <w:pPr>
        <w:ind w:left="4054" w:hanging="270"/>
      </w:pPr>
      <w:rPr>
        <w:rFonts w:hint="default"/>
        <w:lang w:val="en-US" w:eastAsia="en-US" w:bidi="en-US"/>
      </w:rPr>
    </w:lvl>
    <w:lvl w:ilvl="8" w:tplc="4D3C7D7A">
      <w:numFmt w:val="bullet"/>
      <w:lvlText w:val="•"/>
      <w:lvlJc w:val="left"/>
      <w:pPr>
        <w:ind w:left="4576" w:hanging="27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84A53"/>
    <w:rsid w:val="0001625E"/>
    <w:rsid w:val="00035364"/>
    <w:rsid w:val="0004373B"/>
    <w:rsid w:val="00053C17"/>
    <w:rsid w:val="000639BE"/>
    <w:rsid w:val="00092EC2"/>
    <w:rsid w:val="000C4C3A"/>
    <w:rsid w:val="000D06E9"/>
    <w:rsid w:val="000D1196"/>
    <w:rsid w:val="000F36FF"/>
    <w:rsid w:val="00102AF0"/>
    <w:rsid w:val="001042AE"/>
    <w:rsid w:val="0013316A"/>
    <w:rsid w:val="00137F01"/>
    <w:rsid w:val="00137F3F"/>
    <w:rsid w:val="00190BF1"/>
    <w:rsid w:val="00227822"/>
    <w:rsid w:val="00240F22"/>
    <w:rsid w:val="00253A18"/>
    <w:rsid w:val="00284262"/>
    <w:rsid w:val="002B470A"/>
    <w:rsid w:val="00304EE9"/>
    <w:rsid w:val="00325BCC"/>
    <w:rsid w:val="00366179"/>
    <w:rsid w:val="003703ED"/>
    <w:rsid w:val="00373C64"/>
    <w:rsid w:val="003E2951"/>
    <w:rsid w:val="003F6FD9"/>
    <w:rsid w:val="004151EC"/>
    <w:rsid w:val="004366BB"/>
    <w:rsid w:val="004611BB"/>
    <w:rsid w:val="00476847"/>
    <w:rsid w:val="004E2EFE"/>
    <w:rsid w:val="00532B76"/>
    <w:rsid w:val="005354C4"/>
    <w:rsid w:val="005A766A"/>
    <w:rsid w:val="006000D8"/>
    <w:rsid w:val="006101B2"/>
    <w:rsid w:val="00615C0C"/>
    <w:rsid w:val="00642D17"/>
    <w:rsid w:val="00655B6B"/>
    <w:rsid w:val="006A1A43"/>
    <w:rsid w:val="006A1B98"/>
    <w:rsid w:val="006A2AE7"/>
    <w:rsid w:val="006A3FA5"/>
    <w:rsid w:val="006B4F3A"/>
    <w:rsid w:val="006C2C10"/>
    <w:rsid w:val="006C77A3"/>
    <w:rsid w:val="00754779"/>
    <w:rsid w:val="00794C0F"/>
    <w:rsid w:val="007B626B"/>
    <w:rsid w:val="007D5156"/>
    <w:rsid w:val="007F6D70"/>
    <w:rsid w:val="00806FB2"/>
    <w:rsid w:val="00835E4F"/>
    <w:rsid w:val="00841F2D"/>
    <w:rsid w:val="0086458A"/>
    <w:rsid w:val="00883535"/>
    <w:rsid w:val="00890F95"/>
    <w:rsid w:val="00914C8C"/>
    <w:rsid w:val="00925B46"/>
    <w:rsid w:val="00971DD9"/>
    <w:rsid w:val="00974DEE"/>
    <w:rsid w:val="00977C56"/>
    <w:rsid w:val="0099240E"/>
    <w:rsid w:val="009C7B5A"/>
    <w:rsid w:val="00A1588F"/>
    <w:rsid w:val="00A16C03"/>
    <w:rsid w:val="00A20A48"/>
    <w:rsid w:val="00A2410A"/>
    <w:rsid w:val="00A3250E"/>
    <w:rsid w:val="00A35F72"/>
    <w:rsid w:val="00A57B2B"/>
    <w:rsid w:val="00A94A5D"/>
    <w:rsid w:val="00AA1828"/>
    <w:rsid w:val="00AC6367"/>
    <w:rsid w:val="00AC6BA8"/>
    <w:rsid w:val="00AD150C"/>
    <w:rsid w:val="00B2116E"/>
    <w:rsid w:val="00B343F1"/>
    <w:rsid w:val="00B5625C"/>
    <w:rsid w:val="00B84A53"/>
    <w:rsid w:val="00BA5761"/>
    <w:rsid w:val="00BA776B"/>
    <w:rsid w:val="00BB25A3"/>
    <w:rsid w:val="00C53E7D"/>
    <w:rsid w:val="00C843BF"/>
    <w:rsid w:val="00C91F2B"/>
    <w:rsid w:val="00CC15A2"/>
    <w:rsid w:val="00D169AD"/>
    <w:rsid w:val="00D61143"/>
    <w:rsid w:val="00DD5DF4"/>
    <w:rsid w:val="00DE3881"/>
    <w:rsid w:val="00E03C1A"/>
    <w:rsid w:val="00E21C13"/>
    <w:rsid w:val="00E342FC"/>
    <w:rsid w:val="00E804AC"/>
    <w:rsid w:val="00E95311"/>
    <w:rsid w:val="00EB13C3"/>
    <w:rsid w:val="00F22698"/>
    <w:rsid w:val="00F97DD7"/>
    <w:rsid w:val="00FB04D6"/>
    <w:rsid w:val="00FD1130"/>
    <w:rsid w:val="00FD5D2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A80620A"/>
  <w15:docId w15:val="{6DE6994F-2F03-4FDE-897E-D0863E44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20"/>
      <w:outlineLvl w:val="0"/>
    </w:pPr>
    <w:rPr>
      <w:sz w:val="26"/>
      <w:szCs w:val="26"/>
    </w:rPr>
  </w:style>
  <w:style w:type="paragraph" w:styleId="Heading2">
    <w:name w:val="heading 2"/>
    <w:basedOn w:val="Normal"/>
    <w:uiPriority w:val="9"/>
    <w:unhideWhenUsed/>
    <w:qFormat/>
    <w:pPr>
      <w:ind w:left="118"/>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ind w:left="390" w:hanging="27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E2EFE"/>
    <w:rPr>
      <w:rFonts w:ascii="Arial" w:eastAsia="Arial" w:hAnsi="Arial" w:cs="Arial"/>
      <w:sz w:val="16"/>
      <w:szCs w:val="16"/>
      <w:lang w:bidi="en-US"/>
    </w:rPr>
  </w:style>
  <w:style w:type="paragraph" w:styleId="Header">
    <w:name w:val="header"/>
    <w:basedOn w:val="Normal"/>
    <w:link w:val="HeaderChar"/>
    <w:uiPriority w:val="99"/>
    <w:unhideWhenUsed/>
    <w:rsid w:val="002B470A"/>
    <w:pPr>
      <w:tabs>
        <w:tab w:val="center" w:pos="4536"/>
        <w:tab w:val="right" w:pos="9072"/>
      </w:tabs>
    </w:pPr>
  </w:style>
  <w:style w:type="character" w:customStyle="1" w:styleId="HeaderChar">
    <w:name w:val="Header Char"/>
    <w:basedOn w:val="DefaultParagraphFont"/>
    <w:link w:val="Header"/>
    <w:uiPriority w:val="99"/>
    <w:rsid w:val="002B470A"/>
    <w:rPr>
      <w:rFonts w:ascii="Arial" w:eastAsia="Arial" w:hAnsi="Arial" w:cs="Arial"/>
      <w:lang w:bidi="en-US"/>
    </w:rPr>
  </w:style>
  <w:style w:type="paragraph" w:styleId="Footer">
    <w:name w:val="footer"/>
    <w:basedOn w:val="Normal"/>
    <w:link w:val="FooterChar"/>
    <w:uiPriority w:val="99"/>
    <w:unhideWhenUsed/>
    <w:rsid w:val="002B470A"/>
    <w:pPr>
      <w:tabs>
        <w:tab w:val="center" w:pos="4536"/>
        <w:tab w:val="right" w:pos="9072"/>
      </w:tabs>
    </w:pPr>
  </w:style>
  <w:style w:type="character" w:customStyle="1" w:styleId="FooterChar">
    <w:name w:val="Footer Char"/>
    <w:basedOn w:val="DefaultParagraphFont"/>
    <w:link w:val="Footer"/>
    <w:uiPriority w:val="99"/>
    <w:rsid w:val="002B470A"/>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rologis.com/logistics-industry-research/prologis-research-special-report-covid-19-and-implications-logistics"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rologis.com/logistics-industry-research/covid-19-special-report-second-editi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1618</Words>
  <Characters>9227</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Cybelle Mannes</dc:creator>
  <cp:lastModifiedBy>Dicop, Soraya</cp:lastModifiedBy>
  <cp:revision>83</cp:revision>
  <cp:lastPrinted>2020-03-31T09:01:00Z</cp:lastPrinted>
  <dcterms:created xsi:type="dcterms:W3CDTF">2020-03-31T07:41:00Z</dcterms:created>
  <dcterms:modified xsi:type="dcterms:W3CDTF">2020-03-31T15:53:00Z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2020-03-27T00:00:00Z</vt:filetime>
  </property>
  <property fmtid="{D5CDD505-2E9C-101B-9397-08002B2CF9AE}" pid="3" name="Creator">
    <vt:lpwstr>Adobe InDesign 15.0 (Macintosh)</vt:lpwstr>
  </property>
  <property fmtid="{D5CDD505-2E9C-101B-9397-08002B2CF9AE}" pid="4" name="LastSaved">
    <vt:filetime>2020-03-30T00:00:00Z</vt:filetime>
  </property>
</Properties>
</file>